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color w:val="000000"/>
          <w:shd w:val="clear" w:color="auto" w:fill="FFFFFF"/>
          <w:lang w:eastAsia="zh-CN"/>
        </w:rPr>
      </w:pPr>
      <w:bookmarkStart w:id="0" w:name="OLE_LINK1"/>
      <w:r>
        <w:rPr>
          <w:rFonts w:hint="eastAsia"/>
          <w:color w:val="000000"/>
          <w:shd w:val="clear" w:color="auto" w:fill="FFFFFF"/>
        </w:rPr>
        <w:t>HNPR—20</w:t>
      </w:r>
      <w:r>
        <w:rPr>
          <w:color w:val="000000"/>
          <w:shd w:val="clear" w:color="auto" w:fill="FFFFFF"/>
        </w:rPr>
        <w:t>22</w:t>
      </w:r>
      <w:r>
        <w:rPr>
          <w:rFonts w:hint="eastAsia"/>
          <w:color w:val="000000"/>
          <w:shd w:val="clear" w:color="auto" w:fill="FFFFFF"/>
        </w:rPr>
        <w:t>—1</w:t>
      </w:r>
      <w:r>
        <w:rPr>
          <w:color w:val="000000"/>
          <w:shd w:val="clear" w:color="auto" w:fill="FFFFFF"/>
        </w:rPr>
        <w:t>4</w:t>
      </w:r>
      <w:r>
        <w:rPr>
          <w:rFonts w:hint="eastAsia"/>
          <w:color w:val="000000"/>
          <w:shd w:val="clear" w:color="auto" w:fill="FFFFFF"/>
        </w:rPr>
        <w:t>0</w:t>
      </w:r>
      <w:r>
        <w:rPr>
          <w:color w:val="000000"/>
          <w:shd w:val="clear" w:color="auto" w:fill="FFFFFF"/>
        </w:rPr>
        <w:t>0</w:t>
      </w:r>
      <w:r>
        <w:rPr>
          <w:rFonts w:hint="eastAsia"/>
          <w:color w:val="000000"/>
          <w:shd w:val="clear" w:color="auto" w:fill="FFFFFF"/>
          <w:lang w:val="en-US" w:eastAsia="zh-CN"/>
        </w:rPr>
        <w:t>6</w:t>
      </w:r>
    </w:p>
    <w:p>
      <w:pPr>
        <w:ind w:firstLine="624" w:firstLineChars="200"/>
        <w:rPr>
          <w:color w:val="000000"/>
          <w:shd w:val="clear" w:color="auto" w:fill="FFFFFF"/>
        </w:rPr>
      </w:pPr>
    </w:p>
    <w:p>
      <w:pPr>
        <w:ind w:firstLine="624" w:firstLineChars="200"/>
        <w:rPr>
          <w:color w:val="000000"/>
          <w:shd w:val="clear" w:color="auto" w:fill="FFFFFF"/>
        </w:rPr>
      </w:pPr>
    </w:p>
    <w:p>
      <w:pPr>
        <w:rPr>
          <w:rFonts w:hint="eastAsia"/>
          <w:color w:val="000000"/>
          <w:shd w:val="clear" w:color="auto" w:fill="FFFFFF"/>
        </w:rPr>
      </w:pPr>
      <w:r>
        <mc:AlternateContent>
          <mc:Choice Requires="wps">
            <w:drawing>
              <wp:anchor distT="0" distB="0" distL="114300" distR="114300" simplePos="0" relativeHeight="251661312" behindDoc="1" locked="0" layoutInCell="1" allowOverlap="1">
                <wp:simplePos x="0" y="0"/>
                <wp:positionH relativeFrom="margin">
                  <wp:align>left</wp:align>
                </wp:positionH>
                <wp:positionV relativeFrom="paragraph">
                  <wp:posOffset>452755</wp:posOffset>
                </wp:positionV>
                <wp:extent cx="6141720" cy="692150"/>
                <wp:effectExtent l="0" t="0" r="0" b="0"/>
                <wp:wrapTight wrapText="bothSides">
                  <wp:wrapPolygon>
                    <wp:start x="0" y="0"/>
                    <wp:lineTo x="0" y="21600"/>
                    <wp:lineTo x="21600" y="21600"/>
                    <wp:lineTo x="21600" y="0"/>
                  </wp:wrapPolygon>
                </wp:wrapTight>
                <wp:docPr id="4" name="艺术字 6"/>
                <wp:cNvGraphicFramePr/>
                <a:graphic xmlns:a="http://schemas.openxmlformats.org/drawingml/2006/main">
                  <a:graphicData uri="http://schemas.microsoft.com/office/word/2010/wordprocessingShape">
                    <wps:wsp>
                      <wps:cNvSpPr txBox="true">
                        <a:spLocks noChangeArrowheads="true" noChangeShapeType="true" noTextEdit="true"/>
                      </wps:cNvSpPr>
                      <wps:spPr bwMode="auto">
                        <a:xfrm>
                          <a:off x="0" y="0"/>
                          <a:ext cx="6142007" cy="692150"/>
                        </a:xfrm>
                        <a:prstGeom prst="rect">
                          <a:avLst/>
                        </a:prstGeom>
                      </wps:spPr>
                      <wps:txbx>
                        <w:txbxContent>
                          <w:p>
                            <w:pPr>
                              <w:pStyle w:val="4"/>
                              <w:spacing w:before="0" w:beforeAutospacing="0" w:after="0" w:afterAutospacing="0"/>
                              <w:jc w:val="center"/>
                              <w:rPr>
                                <w:b/>
                              </w:rPr>
                            </w:pPr>
                          </w:p>
                        </w:txbxContent>
                      </wps:txbx>
                      <wps:bodyPr wrap="square" numCol="1" fromWordArt="true">
                        <a:prstTxWarp prst="textPlain">
                          <a:avLst>
                            <a:gd name="adj" fmla="val 50000"/>
                          </a:avLst>
                        </a:prstTxWarp>
                        <a:spAutoFit/>
                      </wps:bodyPr>
                    </wps:wsp>
                  </a:graphicData>
                </a:graphic>
              </wp:anchor>
            </w:drawing>
          </mc:Choice>
          <mc:Fallback>
            <w:pict>
              <v:shape id="艺术字 6" o:spid="_x0000_s1026" o:spt="202" type="#_x0000_t202" style="position:absolute;left:0pt;margin-top:35.65pt;height:54.5pt;width:483.6pt;mso-position-horizontal:left;mso-position-horizontal-relative:margin;mso-wrap-distance-left:9pt;mso-wrap-distance-right:9pt;z-index:-251655168;mso-width-relative:page;mso-height-relative:page;" filled="f" stroked="f" coordsize="21600,21600" wrapcoords="0 0 0 21600 21600 21600 21600 0" o:gfxdata="UEsFBgAAAAAAAAAAAAAAAAAAAAAAAFBLAwQKAAAAAACHTuJAAAAAAAAAAAAAAAAABAAAAGRycy9Q&#10;SwMEFAAAAAgAh07iQFLS6jbXAAAABwEAAA8AAABkcnMvZG93bnJldi54bWxNj81Lw0AUxO+C/8Py&#10;BC+l3U2L/YjZFCl4EQRbpV5fs88kNPs2ZLcf/vc+T3ocZpj5TbG++k6daYhtYAvZxIAiroJrubbw&#10;8f48XoKKCdlhF5gsfFOEdXl7U2DuwoW3dN6lWkkJxxwtNCn1udaxashjnISeWLyvMHhMIodauwEv&#10;Uu47PTVmrj22LAsN9rRpqDruTt7CUz/s8ejfPK0+3Wgz2urXhxdt7f1dZh5BJbqmvzD84gs6lMJ0&#10;CCd2UXUW5EiysMhmoMRdzRdTUAeJLc0MdFno//zlD1BLAwQUAAAACACHTuJAMB3YLhACAADqAwAA&#10;DgAAAGRycy9lMm9Eb2MueG1srZPBctMwEIbvzPAOGt2Jk0wbqCdOJ7SUS4HONEzPG0mODZZWSErs&#10;PAJP0AuvwHDv+8DwGKxkJ3TgxuCDxpZW/367+3t+3umG7ZTzNZqCT0ZjzpQRKGuzKfj71dWzF5z5&#10;AEZCg0YVfK88P188fTJvba6mWGEjlWMkYnze2oJXIdg8y7yolAY/QqsMHZboNAT6dJtMOmhJXTfZ&#10;dDyeZS06aR0K5T3tXvaHfJH0y1KJ8K4svQqsKTixhbS6tK7jmi3mkG8c2KoWAwb8A4WG2lDSo9Ql&#10;BGBbV/8lpWvh0GMZRgJ1hmVZC5VqoGom4z+qua3AqlQLNcfbY5v8/5MVb3c3jtWy4CecGdA0op+f&#10;H358+fb96z2bxfa01ucUdWspLnQvsSt4cNuIBbm31yg+embwogKzUUvnsK0USCJMQceTVMpqb0n/&#10;cLBSXXglaxpJ2qFU2aNcfWIfs67bNyjpImwDprRd6XRMT+1jhENz3R9nSaJM0OZsckL+eM6ZoLPZ&#10;2XRymoadQX64bZ0PrxVqFl8K7sgrSR121z5EGsgPIQNapOm5Qrfuht6sUe4JsiUPFdx/2oJT1Mmt&#10;vkCy3ISz0qG+I5Mu3aHSiB6VV90dODukDwR+0xxslBiSn+QwFZAfSEs35M4dNOx0TE8cD1EOwQNv&#10;r9pPZ0kdu6pTMbG1PepQDBkq3R7MHx37+DtF/f5FF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UtLqNtcAAAAHAQAADwAAAAAAAAABACAAAAA4AAAAZHJzL2Rvd25yZXYueG1sUEsBAhQAFAAAAAgA&#10;h07iQDAd2C4QAgAA6gMAAA4AAAAAAAAAAQAgAAAAPAEAAGRycy9lMm9Eb2MueG1sUEsFBgAAAAAG&#10;AAYAWQEAAL4FAAAAAA==&#10;" adj="10800">
                <v:fill on="f" focussize="0,0"/>
                <v:stroke on="f"/>
                <v:imagedata o:title=""/>
                <o:lock v:ext="edit" text="t" aspectratio="f"/>
                <v:textbox style="mso-fit-shape-to-text:t;">
                  <w:txbxContent>
                    <w:p>
                      <w:pPr>
                        <w:pStyle w:val="4"/>
                        <w:spacing w:before="0" w:beforeAutospacing="0" w:after="0" w:afterAutospacing="0"/>
                        <w:jc w:val="center"/>
                        <w:rPr>
                          <w:b/>
                        </w:rPr>
                      </w:pPr>
                    </w:p>
                  </w:txbxContent>
                </v:textbox>
                <w10:wrap type="tight"/>
              </v:shape>
            </w:pict>
          </mc:Fallback>
        </mc:AlternateContent>
      </w:r>
    </w:p>
    <w:p>
      <w:pPr>
        <w:spacing w:after="57" w:afterLines="10"/>
        <w:rPr>
          <w:rFonts w:hint="eastAsia"/>
          <w:color w:val="000000"/>
          <w:shd w:val="clear" w:color="auto" w:fill="FFFFFF"/>
        </w:rPr>
      </w:pPr>
    </w:p>
    <w:p>
      <w:pPr>
        <w:spacing w:after="57" w:afterLines="10"/>
        <w:rPr>
          <w:rFonts w:hint="eastAsia"/>
          <w:color w:val="000000"/>
          <w:shd w:val="clear" w:color="auto" w:fill="FFFFFF"/>
        </w:rPr>
      </w:pPr>
    </w:p>
    <w:p>
      <w:pPr>
        <w:jc w:val="center"/>
        <w:rPr>
          <w:rFonts w:ascii="仿宋" w:hAnsi="仿宋" w:eastAsia="仿宋"/>
          <w:color w:val="000000"/>
          <w:shd w:val="clear" w:color="auto" w:fill="FFFFFF"/>
        </w:rPr>
      </w:pPr>
      <w:bookmarkStart w:id="1" w:name="_GoBack"/>
      <w:bookmarkEnd w:id="1"/>
      <w:r>
        <w:rPr>
          <w:rFonts w:ascii="仿宋" w:hAnsi="仿宋" w:eastAsia="仿宋"/>
          <w:color w:val="000000"/>
          <w:shd w:val="clear" w:color="auto" w:fill="FFFFFF"/>
        </w:rPr>
        <w:t>湘建价</w:t>
      </w:r>
      <w:r>
        <w:rPr>
          <w:rFonts w:ascii="Times New Roman" w:hAnsi="Times New Roman" w:eastAsia="仿宋"/>
          <w:color w:val="000000"/>
          <w:sz w:val="32"/>
          <w:shd w:val="clear" w:color="auto" w:fill="FFFFFF"/>
        </w:rPr>
        <w:t>〔2021〕23</w:t>
      </w:r>
      <w:r>
        <w:rPr>
          <w:rFonts w:hint="eastAsia" w:ascii="Times New Roman" w:hAnsi="Times New Roman" w:eastAsia="仿宋"/>
          <w:color w:val="000000"/>
          <w:sz w:val="32"/>
          <w:shd w:val="clear" w:color="auto" w:fill="FFFFFF"/>
          <w:lang w:val="en-US" w:eastAsia="zh-CN"/>
        </w:rPr>
        <w:t>8</w:t>
      </w:r>
      <w:r>
        <w:rPr>
          <w:rFonts w:ascii="仿宋" w:hAnsi="仿宋" w:eastAsia="仿宋"/>
          <w:color w:val="000000"/>
          <w:shd w:val="clear" w:color="auto" w:fill="FFFFFF"/>
        </w:rPr>
        <w:t>号</w:t>
      </w:r>
    </w:p>
    <w:p>
      <w:pPr>
        <w:spacing w:line="720" w:lineRule="exact"/>
        <w:rPr>
          <w:rFonts w:ascii="仿宋" w:hAnsi="仿宋" w:eastAsia="仿宋"/>
          <w:color w:val="000000"/>
          <w:sz w:val="44"/>
          <w:szCs w:val="44"/>
          <w:shd w:val="clear" w:color="auto" w:fill="FFFFFF"/>
        </w:rPr>
      </w:pPr>
    </w:p>
    <w:p>
      <w:pPr>
        <w:spacing w:line="720" w:lineRule="exact"/>
        <w:jc w:val="center"/>
        <w:rPr>
          <w:rFonts w:hint="eastAsia" w:asciiTheme="majorEastAsia" w:hAnsiTheme="majorEastAsia" w:eastAsiaTheme="majorEastAsia"/>
          <w:b/>
          <w:color w:val="000000"/>
          <w:sz w:val="44"/>
          <w:szCs w:val="44"/>
          <w:shd w:val="clear" w:color="auto" w:fill="FFFFFF"/>
        </w:rPr>
      </w:pPr>
      <w:r>
        <w:rPr>
          <w:rFonts w:hint="eastAsia" w:asciiTheme="majorEastAsia" w:hAnsiTheme="majorEastAsia" w:eastAsiaTheme="majorEastAsia"/>
          <w:b/>
          <w:color w:val="000000"/>
          <w:sz w:val="44"/>
          <w:szCs w:val="44"/>
          <w:shd w:val="clear" w:color="auto" w:fill="FFFFFF"/>
        </w:rPr>
        <w:t>湖南省住房和城乡建设厅关于印发《湖南省</w:t>
      </w:r>
    </w:p>
    <w:p>
      <w:pPr>
        <w:spacing w:line="720" w:lineRule="exact"/>
        <w:jc w:val="center"/>
        <w:rPr>
          <w:rFonts w:asciiTheme="majorEastAsia" w:hAnsiTheme="majorEastAsia" w:eastAsiaTheme="majorEastAsia"/>
          <w:b/>
          <w:color w:val="000000"/>
          <w:sz w:val="44"/>
          <w:szCs w:val="44"/>
          <w:shd w:val="clear" w:color="auto" w:fill="FFFFFF"/>
        </w:rPr>
      </w:pPr>
      <w:r>
        <w:rPr>
          <w:rFonts w:hint="eastAsia" w:asciiTheme="majorEastAsia" w:hAnsiTheme="majorEastAsia" w:eastAsiaTheme="majorEastAsia"/>
          <w:b/>
          <w:color w:val="000000"/>
          <w:sz w:val="44"/>
          <w:szCs w:val="44"/>
          <w:shd w:val="clear" w:color="auto" w:fill="FFFFFF"/>
          <w:lang w:val="en-US" w:eastAsia="zh-CN"/>
        </w:rPr>
        <w:t>房屋改造加固及维修工程消耗量标准</w:t>
      </w:r>
      <w:r>
        <w:rPr>
          <w:rFonts w:hint="eastAsia" w:asciiTheme="majorEastAsia" w:hAnsiTheme="majorEastAsia" w:eastAsiaTheme="majorEastAsia"/>
          <w:b/>
          <w:color w:val="000000"/>
          <w:sz w:val="44"/>
          <w:szCs w:val="44"/>
          <w:shd w:val="clear" w:color="auto" w:fill="FFFFFF"/>
        </w:rPr>
        <w:t>》的通知</w:t>
      </w:r>
    </w:p>
    <w:p>
      <w:pPr>
        <w:rPr>
          <w:rFonts w:ascii="仿宋" w:hAnsi="仿宋" w:eastAsia="仿宋"/>
        </w:rPr>
      </w:pPr>
    </w:p>
    <w:p>
      <w:pPr>
        <w:rPr>
          <w:rFonts w:ascii="Times New Roman" w:hAnsi="Times New Roman" w:eastAsia="仿宋"/>
        </w:rPr>
      </w:pPr>
      <w:r>
        <w:rPr>
          <w:rFonts w:hint="eastAsia" w:ascii="Times New Roman" w:hAnsi="Times New Roman" w:eastAsia="仿宋"/>
        </w:rPr>
        <w:t>各市州住房和城乡建设局，各有关单位</w:t>
      </w:r>
      <w:r>
        <w:rPr>
          <w:rFonts w:ascii="Times New Roman" w:hAnsi="Times New Roman" w:eastAsia="仿宋"/>
        </w:rPr>
        <w:t>：</w:t>
      </w:r>
    </w:p>
    <w:p>
      <w:pPr>
        <w:ind w:firstLine="624" w:firstLineChars="200"/>
        <w:rPr>
          <w:rFonts w:ascii="Times New Roman" w:hAnsi="Times New Roman" w:eastAsia="仿宋"/>
        </w:rPr>
      </w:pPr>
      <w:r>
        <w:rPr>
          <w:rFonts w:hint="eastAsia" w:ascii="Times New Roman" w:hAnsi="Times New Roman" w:eastAsia="仿宋"/>
        </w:rPr>
        <w:t>为规范我省房屋改造加固及维修工程计价行为，合理确定和有效控制工程造价，根据本省实际情况，我厅组织编制了《湖南省房屋改造加固及维修工程消耗量标准》（以下简称“消耗量标准”），现印发给你们，请结合以下要求一并贯彻执行。</w:t>
      </w:r>
    </w:p>
    <w:p>
      <w:pPr>
        <w:ind w:firstLine="624" w:firstLineChars="200"/>
        <w:rPr>
          <w:rFonts w:ascii="Times New Roman" w:hAnsi="Times New Roman" w:eastAsia="仿宋"/>
        </w:rPr>
      </w:pPr>
      <w:r>
        <w:rPr>
          <w:rFonts w:hint="eastAsia" w:ascii="Times New Roman" w:hAnsi="Times New Roman" w:eastAsia="仿宋"/>
        </w:rPr>
        <w:t>一、</w:t>
      </w:r>
      <w:r>
        <w:rPr>
          <w:rFonts w:hint="eastAsia" w:eastAsia="仿宋"/>
          <w:w w:val="100"/>
          <w:sz w:val="32"/>
          <w:lang w:eastAsia="zh-CN"/>
        </w:rPr>
        <w:t>“</w:t>
      </w:r>
      <w:r>
        <w:rPr>
          <w:rFonts w:hint="eastAsia" w:ascii="Times New Roman" w:hAnsi="Times New Roman" w:eastAsia="仿宋"/>
        </w:rPr>
        <w:t>消耗量标准</w:t>
      </w:r>
      <w:r>
        <w:rPr>
          <w:rFonts w:hint="eastAsia" w:eastAsia="仿宋"/>
          <w:spacing w:val="0"/>
          <w:w w:val="100"/>
          <w:sz w:val="32"/>
          <w:lang w:eastAsia="zh-CN"/>
        </w:rPr>
        <w:t>”</w:t>
      </w:r>
      <w:r>
        <w:rPr>
          <w:rFonts w:hint="eastAsia" w:ascii="Times New Roman" w:hAnsi="Times New Roman" w:eastAsia="仿宋"/>
        </w:rPr>
        <w:t>与我厅2020年颁发的</w:t>
      </w:r>
      <w:r>
        <w:rPr>
          <w:rFonts w:hint="eastAsia" w:ascii="Times New Roman" w:hAnsi="Times New Roman" w:eastAsia="仿宋"/>
          <w:spacing w:val="0"/>
          <w:sz w:val="32"/>
        </w:rPr>
        <w:t>《</w:t>
      </w:r>
      <w:r>
        <w:rPr>
          <w:rFonts w:hint="eastAsia" w:ascii="Times New Roman" w:hAnsi="Times New Roman" w:eastAsia="仿宋"/>
        </w:rPr>
        <w:t>湖南省建设工程计价办法》及《湖南省建设工程消耗量标准》（湘建价〔2020〕56号）配套使用，适用于湖南省行政区域内的房屋改造加固及维修工程发承包和实施阶段的工程计价。</w:t>
      </w:r>
    </w:p>
    <w:p>
      <w:pPr>
        <w:ind w:firstLine="624" w:firstLineChars="200"/>
        <w:rPr>
          <w:rFonts w:ascii="Times New Roman" w:hAnsi="Times New Roman" w:eastAsia="仿宋"/>
        </w:rPr>
      </w:pPr>
      <w:r>
        <w:rPr>
          <w:rFonts w:hint="eastAsia" w:ascii="Times New Roman" w:hAnsi="Times New Roman" w:eastAsia="仿宋"/>
        </w:rPr>
        <w:t>二、“消耗量标准”的取费标准和计费程序按照本“消耗量标准”附录中相关规定执行，相关计价表格按2020年《湖南省建设工程计价办法》执行。</w:t>
      </w:r>
    </w:p>
    <w:p>
      <w:pPr>
        <w:ind w:firstLine="624" w:firstLineChars="200"/>
        <w:rPr>
          <w:rFonts w:hint="eastAsia" w:ascii="Times New Roman" w:hAnsi="Times New Roman" w:eastAsia="仿宋"/>
        </w:rPr>
      </w:pPr>
      <w:r>
        <w:rPr>
          <w:rFonts w:hint="eastAsia" w:ascii="Times New Roman" w:hAnsi="Times New Roman" w:eastAsia="仿宋"/>
        </w:rPr>
        <w:t>三、已发出招标文件并已公示招标控制价的工程或已签订施工合同的工程，仍按原招标文件的规定或施工合同约定执行。合同约定不明确的，由双方签订补充协议明确是否按照新计价依据执行。</w:t>
      </w:r>
    </w:p>
    <w:p>
      <w:pPr>
        <w:ind w:firstLine="624" w:firstLineChars="200"/>
        <w:rPr>
          <w:rFonts w:hint="eastAsia" w:ascii="Times New Roman" w:hAnsi="Times New Roman" w:eastAsia="仿宋"/>
        </w:rPr>
      </w:pPr>
      <w:r>
        <w:rPr>
          <w:rFonts w:hint="eastAsia" w:ascii="Times New Roman" w:hAnsi="Times New Roman" w:eastAsia="仿宋"/>
        </w:rPr>
        <w:t>四、本通知自2022年3月1日起开始施行，有效期至2027年2月28日止。我厅2018年颁发的《湖南省房屋修缮工程计价定额》（湘建价〔2018〕44号）及与之配套的取费文件、补充定额、解释说明同时废止。</w:t>
      </w:r>
    </w:p>
    <w:p>
      <w:pPr>
        <w:tabs>
          <w:tab w:val="left" w:pos="7513"/>
        </w:tabs>
        <w:ind w:firstLine="624" w:firstLineChars="200"/>
        <w:rPr>
          <w:rFonts w:ascii="Times New Roman" w:hAnsi="Times New Roman" w:eastAsia="仿宋"/>
        </w:rPr>
      </w:pPr>
      <w:r>
        <w:rPr>
          <w:rFonts w:hint="eastAsia" w:ascii="Times New Roman" w:hAnsi="Times New Roman" w:eastAsia="仿宋"/>
        </w:rPr>
        <w:t>各单位在执行过程中遇到的问题和意见，请及时与省建设工程造价管理总站联系。</w:t>
      </w:r>
    </w:p>
    <w:p>
      <w:pPr>
        <w:tabs>
          <w:tab w:val="left" w:pos="7513"/>
        </w:tabs>
        <w:ind w:firstLine="624" w:firstLineChars="200"/>
        <w:rPr>
          <w:rFonts w:ascii="Times New Roman" w:hAnsi="Times New Roman" w:eastAsia="仿宋"/>
        </w:rPr>
      </w:pPr>
      <w:r>
        <w:rPr>
          <w:rFonts w:hint="eastAsia" w:ascii="Times New Roman" w:hAnsi="Times New Roman" w:eastAsia="仿宋"/>
        </w:rPr>
        <w:t>联系电话：0731—84165435。</w:t>
      </w:r>
    </w:p>
    <w:p>
      <w:pPr>
        <w:ind w:firstLine="624"/>
        <w:rPr>
          <w:rFonts w:ascii="Times New Roman" w:hAnsi="Times New Roman" w:eastAsia="仿宋"/>
        </w:rPr>
      </w:pPr>
    </w:p>
    <w:p>
      <w:pPr>
        <w:ind w:firstLine="624"/>
        <w:rPr>
          <w:rFonts w:ascii="Times New Roman" w:hAnsi="Times New Roman" w:eastAsia="仿宋"/>
        </w:rPr>
      </w:pPr>
    </w:p>
    <w:p>
      <w:pPr>
        <w:widowControl/>
        <w:shd w:val="clear" w:color="auto" w:fill="FFFFFF"/>
        <w:tabs>
          <w:tab w:val="left" w:pos="7644"/>
        </w:tabs>
        <w:ind w:firstLine="624" w:firstLineChars="200"/>
        <w:jc w:val="right"/>
        <w:rPr>
          <w:rFonts w:ascii="Times New Roman" w:hAnsi="Times New Roman" w:eastAsia="仿宋"/>
        </w:rPr>
      </w:pPr>
      <w:r>
        <w:rPr>
          <w:rFonts w:hint="eastAsia" w:ascii="Times New Roman" w:hAnsi="Times New Roman" w:eastAsia="仿宋"/>
        </w:rPr>
        <w:t>湖南省住房和城乡建设厅</w:t>
      </w:r>
    </w:p>
    <w:p>
      <w:pPr>
        <w:widowControl/>
        <w:shd w:val="clear" w:color="auto" w:fill="FFFFFF"/>
        <w:tabs>
          <w:tab w:val="left" w:pos="7644"/>
        </w:tabs>
        <w:ind w:right="468" w:firstLine="624" w:firstLineChars="200"/>
        <w:jc w:val="right"/>
        <w:rPr>
          <w:rFonts w:ascii="Times New Roman" w:hAnsi="Times New Roman" w:eastAsia="仿宋"/>
        </w:rPr>
      </w:pPr>
      <w:r>
        <w:rPr>
          <w:rFonts w:hint="eastAsia" w:ascii="Times New Roman" w:hAnsi="Times New Roman" w:eastAsia="仿宋"/>
        </w:rPr>
        <w:t>20</w:t>
      </w:r>
      <w:r>
        <w:rPr>
          <w:rFonts w:ascii="Times New Roman" w:hAnsi="Times New Roman" w:eastAsia="仿宋"/>
        </w:rPr>
        <w:t>21</w:t>
      </w:r>
      <w:r>
        <w:rPr>
          <w:rFonts w:hint="eastAsia" w:ascii="Times New Roman" w:hAnsi="Times New Roman" w:eastAsia="仿宋"/>
        </w:rPr>
        <w:t>年</w:t>
      </w:r>
      <w:r>
        <w:rPr>
          <w:rFonts w:ascii="Times New Roman" w:hAnsi="Times New Roman" w:eastAsia="仿宋"/>
        </w:rPr>
        <w:t>12</w:t>
      </w:r>
      <w:r>
        <w:rPr>
          <w:rFonts w:hint="eastAsia" w:ascii="Times New Roman" w:hAnsi="Times New Roman" w:eastAsia="仿宋"/>
        </w:rPr>
        <w:t>月</w:t>
      </w:r>
      <w:r>
        <w:rPr>
          <w:rFonts w:ascii="Times New Roman" w:hAnsi="Times New Roman" w:eastAsia="仿宋"/>
        </w:rPr>
        <w:t>2</w:t>
      </w:r>
      <w:r>
        <w:rPr>
          <w:rFonts w:hint="eastAsia" w:ascii="Times New Roman" w:hAnsi="Times New Roman" w:eastAsia="仿宋"/>
          <w:lang w:val="en-US" w:eastAsia="zh-CN"/>
        </w:rPr>
        <w:t>9</w:t>
      </w:r>
      <w:r>
        <w:rPr>
          <w:rFonts w:hint="eastAsia" w:ascii="Times New Roman" w:hAnsi="Times New Roman" w:eastAsia="仿宋"/>
        </w:rPr>
        <w:t>日</w:t>
      </w:r>
    </w:p>
    <w:bookmarkEnd w:id="0"/>
    <w:p>
      <w:pPr>
        <w:widowControl/>
        <w:shd w:val="clear" w:color="auto" w:fill="FFFFFF"/>
        <w:ind w:firstLine="624" w:firstLineChars="200"/>
        <w:rPr>
          <w:rFonts w:ascii="Times New Roman" w:hAnsi="Times New Roman" w:eastAsia="仿宋"/>
          <w:color w:val="000000"/>
          <w:shd w:val="clear" w:color="auto" w:fill="FFFFFF"/>
        </w:rPr>
      </w:pPr>
    </w:p>
    <w:p>
      <w:pPr>
        <w:widowControl/>
        <w:shd w:val="clear" w:color="auto" w:fill="FFFFFF"/>
        <w:ind w:firstLine="468" w:firstLineChars="172"/>
        <w:rPr>
          <w:rFonts w:ascii="仿宋" w:hAnsi="仿宋" w:eastAsia="仿宋"/>
          <w:sz w:val="28"/>
          <w:szCs w:val="28"/>
        </w:rPr>
      </w:pPr>
      <w:r>
        <w:rPr>
          <w:rFonts w:ascii="Times New Roman" w:hAnsi="Times New Roman" w:eastAsia="仿宋"/>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615940" cy="0"/>
                <wp:effectExtent l="8255" t="11430" r="5080" b="7620"/>
                <wp:wrapNone/>
                <wp:docPr id="2" name="直线 5"/>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4445">
                          <a:solidFill>
                            <a:srgbClr val="000000"/>
                          </a:solidFill>
                          <a:round/>
                        </a:ln>
                      </wps:spPr>
                      <wps:bodyPr/>
                    </wps:wsp>
                  </a:graphicData>
                </a:graphic>
              </wp:anchor>
            </w:drawing>
          </mc:Choice>
          <mc:Fallback>
            <w:pict>
              <v:line id="直线 5" o:spid="_x0000_s1026" o:spt="20" style="position:absolute;left:0pt;margin-top:0pt;height:0pt;width:442.2pt;mso-position-horizontal:center;z-index:251660288;mso-width-relative:page;mso-height-relative:page;" filled="f" stroked="t" coordsize="21600,21600" o:gfxdata="UEsFBgAAAAAAAAAAAAAAAAAAAAAAAFBLAwQKAAAAAACHTuJAAAAAAAAAAAAAAAAABAAAAGRycy9Q&#10;SwMEFAAAAAgAh07iQAInCgbSAAAAAgEAAA8AAABkcnMvZG93bnJldi54bWxNj0FLw0AQhe+C/2EZ&#10;wZvdVEIMaTZFRL0IFqvY6zQ7TUKzsyG7bdp/79SLXh483vDeN+Xy5Hp1pDF0ng3MZwko4trbjhsD&#10;X58vdzmoEJEt9p7JwJkCLKvrqxIL6yf+oOM6NkpKOBRooI1xKLQOdUsOw8wPxJLt/Ogwih0bbUec&#10;pNz1+j5JMu2wY1locaCnlur9+uAM5BucVs/dY5bWzSbbvZ8fXr9Xb8bc3syTBahIp/h3DBd8QYdK&#10;mLb+wDao3oA8En9VsjxPU1Dbi9VVqf+jVz9QSwMEFAAAAAgAh07iQCHLG6y9AQAAVgMAAA4AAABk&#10;cnMvZTJvRG9jLnhtbK1TS44TMRDdI3EHy3vSSZSMoJXOLDIaNgNEmuEAFdvdbWG7rLKT7pyFa7Bi&#10;w3HmGtjOhwF2iF5YXb/neq/Kq9vRGnZQFDS6hs8mU86UEyi16xr++en+zVvOQgQnwaBTDT+qwG/X&#10;r1+tBl+rOfZopCKWQFyoB9/wPkZfV1UQvbIQJuiVS8EWyUJMJnWVJBgSujXVfDq9qQYk6QmFCiF5&#10;705Bvi74batE/NS2QUVmGp56i+Wkcu7yWa1XUHcEvtfi3Ab8QxcWtEuXXqHuIALbk/4LympBGLCN&#10;E4G2wrbVQhUOic1s+gebxx68KlySOMFfZQr/D1Z8PGyJadnwOWcObBrR89dvz99/sGXWZvChTikb&#10;t6XMTozu0T+g+BKYw00PrlOlx6ejT4WR9ioXVb9VZSP4dMlu+IAypcE+YtFqbMlm1KQCG8tIjteR&#10;qDEykZzLm9ny3SJNTlxiFdSXQk8hvldoWf5puNEuqwU1HB5CzI1AfUnJbof32pgycePY0PDFYrEs&#10;BQGNljmY0wJ1u40hdoC8M+UrrFLkZRrh3snTJcadSWeeJ9F2KI9buoiRhle6OS9a3o6Xdqn+9Rz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CJwoG0gAAAAIBAAAPAAAAAAAAAAEAIAAAADgAAABk&#10;cnMvZG93bnJldi54bWxQSwECFAAUAAAACACHTuJAIcsbrL0BAABWAwAADgAAAAAAAAABACAAAAA3&#10;AQAAZHJzL2Uyb0RvYy54bWxQSwUGAAAAAAYABgBZAQAAZgUAAAAA&#10;">
                <v:fill on="f" focussize="0,0"/>
                <v:stroke weight="0.35pt" color="#000000" joinstyle="round"/>
                <v:imagedata o:title=""/>
                <o:lock v:ext="edit" aspectratio="f"/>
              </v:line>
            </w:pict>
          </mc:Fallback>
        </mc:AlternateContent>
      </w:r>
      <w:r>
        <w:rPr>
          <w:rFonts w:ascii="Times New Roman" w:hAnsi="Times New Roman" w:eastAsia="仿宋"/>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364490</wp:posOffset>
                </wp:positionV>
                <wp:extent cx="5615940" cy="0"/>
                <wp:effectExtent l="8255" t="6985" r="5080" b="12065"/>
                <wp:wrapNone/>
                <wp:docPr id="1" name="直线 4"/>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4445">
                          <a:solidFill>
                            <a:srgbClr val="000000"/>
                          </a:solidFill>
                          <a:round/>
                        </a:ln>
                      </wps:spPr>
                      <wps:bodyPr/>
                    </wps:wsp>
                  </a:graphicData>
                </a:graphic>
              </wp:anchor>
            </w:drawing>
          </mc:Choice>
          <mc:Fallback>
            <w:pict>
              <v:line id="直线 4" o:spid="_x0000_s1026" o:spt="20" style="position:absolute;left:0pt;margin-top:28.7pt;height:0pt;width:442.2pt;mso-position-horizontal:center;z-index:251659264;mso-width-relative:page;mso-height-relative:page;" filled="f" stroked="t" coordsize="21600,21600" o:gfxdata="UEsFBgAAAAAAAAAAAAAAAAAAAAAAAFBLAwQKAAAAAACHTuJAAAAAAAAAAAAAAAAABAAAAGRycy9Q&#10;SwMEFAAAAAgAh07iQBJmTfLVAAAABgEAAA8AAABkcnMvZG93bnJldi54bWxNj0FLw0AQhe+C/2EZ&#10;wZvdVGIaYjZFRL0Illax12l2mgSzsyG7bdp/74gHvc2bN7z3Tbk8uV4daQydZwPzWQKKuPa248bA&#10;x/vzTQ4qRGSLvWcycKYAy+ryosTC+onXdNzERkkIhwINtDEOhdahbslhmPmBWLy9Hx1GkWOj7YiT&#10;hLte3yZJph12LA0tDvTYUv21OTgD+Ran1VP3kKV1s832b+fFy+fq1Zjrq3lyDyrSKf4dww++oEMl&#10;TDt/YBtUb0AeiQbuFikocfM8lWH3u9BVqf/jV99QSwMEFAAAAAgAh07iQB8r6Ti+AQAAVgMAAA4A&#10;AABkcnMvZTJvRG9jLnhtbK1TS27bMBDdF+gdCO5r2YEctILlLBykm7Q1kPQANElJREkOMaQt+yy9&#10;Rlfd9Di5Rof0p2mzC6oFoeHMPM57j1zc7J1lO43RgG/5bDLlTHsJyvi+5V8f79695ywm4ZWw4HXL&#10;Dzrym+XbN4sxNPoKBrBKIyMQH5sxtHxIKTRVFeWgnYgTCNpTsgN0IlGIfaVQjITubHU1nV5XI6AK&#10;CFLHSLu3xyRfFvyu0zJ96bqoE7Mtp9lSWbGsm7xWy4VoehRhMPI0hnjFFE4YT4deoG5FEmyL5gWU&#10;MxIhQpcmElwFXWekLhyIzWz6D5uHQQRduJA4MVxkiv8PVn7erZEZRd5x5oUji56+/3j6+YvVWZsx&#10;xIZKVn6NmZ3c+4dwD/JbZB5Wg/C9LjM+HgI1Jtzq3FT91ZWDGOiQzfgJFJWJbYKi1b5Dl1FJBbYv&#10;lhwuluh9YpI259ez+YeanJPnXCWac2PAmD5qcCz/tNwan9USjdjdx5QHEc25JG97uDPWFsetZ2PL&#10;67qel4YI1qiczGUR+83KItuJfGfKV1hR5nkZwtar4yHWn0hnnkfRNqAOazyLQeaVaU4XLd+O53Hp&#10;/vMc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EmZN8tUAAAAGAQAADwAAAAAAAAABACAAAAA4&#10;AAAAZHJzL2Rvd25yZXYueG1sUEsBAhQAFAAAAAgAh07iQB8r6Ti+AQAAVgMAAA4AAAAAAAAAAQAg&#10;AAAAOgEAAGRycy9lMm9Eb2MueG1sUEsFBgAAAAAGAAYAWQEAAGoFAAAAAA==&#10;">
                <v:fill on="f" focussize="0,0"/>
                <v:stroke weight="0.35pt" color="#000000" joinstyle="round"/>
                <v:imagedata o:title=""/>
                <o:lock v:ext="edit" aspectratio="f"/>
              </v:line>
            </w:pict>
          </mc:Fallback>
        </mc:AlternateContent>
      </w:r>
      <w:r>
        <w:rPr>
          <w:rFonts w:ascii="Times New Roman" w:hAnsi="Times New Roman" w:eastAsia="仿宋"/>
          <w:color w:val="000000"/>
          <w:sz w:val="28"/>
          <w:szCs w:val="28"/>
          <w:shd w:val="clear" w:color="auto" w:fill="FFFFFF"/>
        </w:rPr>
        <w:t>湖南省住房和城乡建设厅</w:t>
      </w:r>
      <w:r>
        <w:rPr>
          <w:rFonts w:hint="eastAsia" w:ascii="Times New Roman" w:hAnsi="Times New Roman" w:eastAsia="仿宋"/>
          <w:sz w:val="28"/>
          <w:szCs w:val="28"/>
        </w:rPr>
        <w:t xml:space="preserve">办公室           </w:t>
      </w:r>
      <w:r>
        <w:rPr>
          <w:rFonts w:ascii="Times New Roman" w:hAnsi="Times New Roman" w:eastAsia="仿宋"/>
          <w:sz w:val="28"/>
          <w:szCs w:val="28"/>
        </w:rPr>
        <w:t>2022年1月</w:t>
      </w:r>
      <w:r>
        <w:rPr>
          <w:rFonts w:hint="eastAsia" w:ascii="Times New Roman" w:hAnsi="Times New Roman" w:eastAsia="仿宋"/>
          <w:sz w:val="28"/>
          <w:szCs w:val="28"/>
        </w:rPr>
        <w:t>1</w:t>
      </w:r>
      <w:r>
        <w:rPr>
          <w:rFonts w:ascii="Times New Roman" w:hAnsi="Times New Roman" w:eastAsia="仿宋"/>
          <w:sz w:val="28"/>
          <w:szCs w:val="28"/>
        </w:rPr>
        <w:t>2日</w:t>
      </w:r>
      <w:r>
        <w:rPr>
          <w:rFonts w:hint="eastAsia" w:ascii="Times New Roman" w:hAnsi="Times New Roman" w:eastAsia="仿宋"/>
          <w:sz w:val="28"/>
          <w:szCs w:val="28"/>
        </w:rPr>
        <w:t>印发</w:t>
      </w:r>
    </w:p>
    <w:sectPr>
      <w:footerReference r:id="rId3" w:type="default"/>
      <w:footerReference r:id="rId4" w:type="even"/>
      <w:pgSz w:w="11906" w:h="16838"/>
      <w:pgMar w:top="2098" w:right="1588" w:bottom="2098" w:left="1588" w:header="1701" w:footer="1701" w:gutter="0"/>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7"/>
        <w:rFonts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2</w:t>
    </w:r>
    <w:r>
      <w:rPr>
        <w:rFonts w:ascii="宋体" w:hAnsi="宋体" w:eastAsia="宋体"/>
        <w:sz w:val="28"/>
        <w:szCs w:val="28"/>
      </w:rPr>
      <w:fldChar w:fldCharType="end"/>
    </w:r>
    <w:r>
      <w:rPr>
        <w:rStyle w:val="7"/>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7C"/>
    <w:rsid w:val="001B3FC7"/>
    <w:rsid w:val="001E46DD"/>
    <w:rsid w:val="0025526B"/>
    <w:rsid w:val="00295AB9"/>
    <w:rsid w:val="00384458"/>
    <w:rsid w:val="00495C4E"/>
    <w:rsid w:val="004F2A1F"/>
    <w:rsid w:val="0050674B"/>
    <w:rsid w:val="0050790D"/>
    <w:rsid w:val="005A7888"/>
    <w:rsid w:val="005B513D"/>
    <w:rsid w:val="00640A1E"/>
    <w:rsid w:val="0064337C"/>
    <w:rsid w:val="006666B4"/>
    <w:rsid w:val="007618A8"/>
    <w:rsid w:val="0077539E"/>
    <w:rsid w:val="008716B1"/>
    <w:rsid w:val="008B3AEF"/>
    <w:rsid w:val="008D5A4C"/>
    <w:rsid w:val="009310F8"/>
    <w:rsid w:val="009C28C8"/>
    <w:rsid w:val="00A67B0E"/>
    <w:rsid w:val="00A809BB"/>
    <w:rsid w:val="00C87111"/>
    <w:rsid w:val="00DB1E57"/>
    <w:rsid w:val="00DB5001"/>
    <w:rsid w:val="00DE1553"/>
    <w:rsid w:val="00F573C2"/>
    <w:rsid w:val="00F65B15"/>
    <w:rsid w:val="126F6C7D"/>
    <w:rsid w:val="13E96013"/>
    <w:rsid w:val="24F0501A"/>
    <w:rsid w:val="2EE70873"/>
    <w:rsid w:val="38601D19"/>
    <w:rsid w:val="3BD542C1"/>
    <w:rsid w:val="43574906"/>
    <w:rsid w:val="49FE33BC"/>
    <w:rsid w:val="4DA57B8E"/>
    <w:rsid w:val="58E10B21"/>
    <w:rsid w:val="62BF3C54"/>
    <w:rsid w:val="7724572B"/>
    <w:rsid w:val="7C7C2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仿宋_GB2312" w:cs="Times New Roman"/>
      <w:sz w:val="18"/>
      <w:szCs w:val="18"/>
    </w:rPr>
  </w:style>
  <w:style w:type="character" w:customStyle="1" w:styleId="9">
    <w:name w:val="页眉 Char"/>
    <w:basedOn w:val="6"/>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416</Characters>
  <Lines>3</Lines>
  <Paragraphs>1</Paragraphs>
  <TotalTime>2</TotalTime>
  <ScaleCrop>false</ScaleCrop>
  <LinksUpToDate>false</LinksUpToDate>
  <CharactersWithSpaces>487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2022-01-13T16:02:00Z</dcterms:created>
  <dc:creator>黄涵羚</dc:creator>
  <cp:lastModifiedBy>greatwall</cp:lastModifiedBy>
  <dcterms:modified xsi:type="dcterms:W3CDTF">2022-01-20T11:21:48Z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77BFDE42E1E6471E9075C7346A9AFB59</vt:lpwstr>
  </property>
</Properties>
</file>