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071"/>
        <w:gridCol w:w="9"/>
        <w:gridCol w:w="1436"/>
        <w:gridCol w:w="1740"/>
        <w:gridCol w:w="4063"/>
        <w:gridCol w:w="2924"/>
        <w:gridCol w:w="1531"/>
        <w:gridCol w:w="1002"/>
      </w:tblGrid>
      <w:tr w:rsidR="001816A9" w:rsidRPr="00A728FF" w:rsidTr="00C7333B">
        <w:trPr>
          <w:cantSplit/>
          <w:trHeight w:val="450"/>
          <w:jc w:val="center"/>
        </w:trPr>
        <w:tc>
          <w:tcPr>
            <w:tcW w:w="1668" w:type="dxa"/>
            <w:gridSpan w:val="3"/>
            <w:tcBorders>
              <w:top w:val="nil"/>
              <w:left w:val="nil"/>
              <w:bottom w:val="nil"/>
              <w:right w:val="nil"/>
            </w:tcBorders>
            <w:noWrap/>
            <w:vAlign w:val="bottom"/>
          </w:tcPr>
          <w:p w:rsidR="001816A9" w:rsidRPr="00A728FF" w:rsidRDefault="001816A9">
            <w:pPr>
              <w:widowControl/>
              <w:jc w:val="left"/>
              <w:rPr>
                <w:rFonts w:ascii="Times New Roman" w:eastAsia="黑体" w:hAnsi="Times New Roman" w:cs="Times New Roman"/>
                <w:kern w:val="0"/>
              </w:rPr>
            </w:pPr>
            <w:r w:rsidRPr="00A728FF">
              <w:rPr>
                <w:rFonts w:ascii="Times New Roman" w:eastAsia="黑体" w:hAnsi="Times New Roman" w:cs="Times New Roman"/>
                <w:kern w:val="0"/>
              </w:rPr>
              <w:t>附件</w:t>
            </w:r>
          </w:p>
        </w:tc>
        <w:tc>
          <w:tcPr>
            <w:tcW w:w="1436" w:type="dxa"/>
            <w:tcBorders>
              <w:top w:val="nil"/>
              <w:left w:val="nil"/>
              <w:bottom w:val="nil"/>
              <w:right w:val="nil"/>
            </w:tcBorders>
            <w:noWrap/>
            <w:vAlign w:val="bottom"/>
          </w:tcPr>
          <w:p w:rsidR="001816A9" w:rsidRPr="00A728FF" w:rsidRDefault="001816A9">
            <w:pPr>
              <w:widowControl/>
              <w:jc w:val="left"/>
              <w:rPr>
                <w:rFonts w:ascii="Times New Roman" w:hAnsi="Times New Roman" w:cs="Times New Roman"/>
                <w:kern w:val="0"/>
                <w:sz w:val="24"/>
                <w:szCs w:val="24"/>
              </w:rPr>
            </w:pPr>
          </w:p>
        </w:tc>
        <w:tc>
          <w:tcPr>
            <w:tcW w:w="1740" w:type="dxa"/>
            <w:tcBorders>
              <w:top w:val="nil"/>
              <w:left w:val="nil"/>
              <w:bottom w:val="nil"/>
              <w:right w:val="nil"/>
            </w:tcBorders>
            <w:noWrap/>
            <w:vAlign w:val="bottom"/>
          </w:tcPr>
          <w:p w:rsidR="001816A9" w:rsidRPr="00A728FF" w:rsidRDefault="001816A9">
            <w:pPr>
              <w:widowControl/>
              <w:jc w:val="center"/>
              <w:rPr>
                <w:rFonts w:ascii="Times New Roman" w:hAnsi="Times New Roman" w:cs="Times New Roman"/>
                <w:kern w:val="0"/>
                <w:sz w:val="24"/>
                <w:szCs w:val="24"/>
              </w:rPr>
            </w:pPr>
          </w:p>
        </w:tc>
        <w:tc>
          <w:tcPr>
            <w:tcW w:w="4063" w:type="dxa"/>
            <w:tcBorders>
              <w:top w:val="nil"/>
              <w:left w:val="nil"/>
              <w:bottom w:val="nil"/>
              <w:right w:val="nil"/>
            </w:tcBorders>
            <w:noWrap/>
            <w:vAlign w:val="bottom"/>
          </w:tcPr>
          <w:p w:rsidR="001816A9" w:rsidRPr="00A728FF" w:rsidRDefault="001816A9">
            <w:pPr>
              <w:widowControl/>
              <w:jc w:val="left"/>
              <w:rPr>
                <w:rFonts w:ascii="Times New Roman" w:hAnsi="Times New Roman" w:cs="Times New Roman"/>
                <w:kern w:val="0"/>
                <w:sz w:val="24"/>
                <w:szCs w:val="24"/>
              </w:rPr>
            </w:pPr>
          </w:p>
        </w:tc>
        <w:tc>
          <w:tcPr>
            <w:tcW w:w="2924" w:type="dxa"/>
            <w:tcBorders>
              <w:top w:val="nil"/>
              <w:left w:val="nil"/>
              <w:bottom w:val="nil"/>
              <w:right w:val="nil"/>
            </w:tcBorders>
            <w:noWrap/>
            <w:vAlign w:val="bottom"/>
          </w:tcPr>
          <w:p w:rsidR="001816A9" w:rsidRPr="00A728FF" w:rsidRDefault="001816A9">
            <w:pPr>
              <w:widowControl/>
              <w:jc w:val="left"/>
              <w:rPr>
                <w:rFonts w:ascii="Times New Roman" w:hAnsi="Times New Roman" w:cs="Times New Roman"/>
                <w:kern w:val="0"/>
                <w:sz w:val="24"/>
                <w:szCs w:val="24"/>
              </w:rPr>
            </w:pPr>
          </w:p>
        </w:tc>
        <w:tc>
          <w:tcPr>
            <w:tcW w:w="1531" w:type="dxa"/>
            <w:tcBorders>
              <w:top w:val="nil"/>
              <w:left w:val="nil"/>
              <w:bottom w:val="nil"/>
              <w:right w:val="nil"/>
            </w:tcBorders>
            <w:noWrap/>
            <w:vAlign w:val="bottom"/>
          </w:tcPr>
          <w:p w:rsidR="001816A9" w:rsidRPr="00A728FF" w:rsidRDefault="001816A9">
            <w:pPr>
              <w:widowControl/>
              <w:jc w:val="left"/>
              <w:rPr>
                <w:rFonts w:ascii="Times New Roman" w:hAnsi="Times New Roman" w:cs="Times New Roman"/>
                <w:kern w:val="0"/>
                <w:sz w:val="24"/>
                <w:szCs w:val="24"/>
              </w:rPr>
            </w:pPr>
          </w:p>
        </w:tc>
        <w:tc>
          <w:tcPr>
            <w:tcW w:w="1002" w:type="dxa"/>
            <w:tcBorders>
              <w:top w:val="nil"/>
              <w:left w:val="nil"/>
              <w:bottom w:val="nil"/>
              <w:right w:val="nil"/>
            </w:tcBorders>
            <w:noWrap/>
            <w:vAlign w:val="bottom"/>
          </w:tcPr>
          <w:p w:rsidR="001816A9" w:rsidRPr="00A728FF" w:rsidRDefault="001816A9">
            <w:pPr>
              <w:widowControl/>
              <w:jc w:val="left"/>
              <w:rPr>
                <w:rFonts w:ascii="Times New Roman" w:hAnsi="Times New Roman" w:cs="Times New Roman"/>
                <w:kern w:val="0"/>
                <w:sz w:val="24"/>
                <w:szCs w:val="24"/>
              </w:rPr>
            </w:pPr>
          </w:p>
        </w:tc>
      </w:tr>
      <w:tr w:rsidR="00397027" w:rsidRPr="00A728FF" w:rsidTr="00C7333B">
        <w:trPr>
          <w:cantSplit/>
          <w:trHeight w:val="679"/>
          <w:jc w:val="center"/>
        </w:trPr>
        <w:tc>
          <w:tcPr>
            <w:tcW w:w="14364" w:type="dxa"/>
            <w:gridSpan w:val="9"/>
            <w:tcBorders>
              <w:top w:val="nil"/>
              <w:left w:val="nil"/>
              <w:bottom w:val="single" w:sz="4" w:space="0" w:color="auto"/>
              <w:right w:val="nil"/>
            </w:tcBorders>
            <w:vAlign w:val="center"/>
          </w:tcPr>
          <w:p w:rsidR="00397027" w:rsidRPr="00A728FF" w:rsidRDefault="00397027">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方正小标宋简体" w:hAnsi="Times New Roman" w:cs="Times New Roman"/>
                <w:bCs/>
                <w:kern w:val="0"/>
                <w:sz w:val="40"/>
                <w:szCs w:val="40"/>
              </w:rPr>
              <w:t>全省住房城乡建设系统交通问题顽</w:t>
            </w:r>
            <w:proofErr w:type="gramStart"/>
            <w:r w:rsidRPr="00A728FF">
              <w:rPr>
                <w:rFonts w:ascii="Times New Roman" w:eastAsia="方正小标宋简体" w:hAnsi="Times New Roman" w:cs="Times New Roman"/>
                <w:bCs/>
                <w:kern w:val="0"/>
                <w:sz w:val="40"/>
                <w:szCs w:val="40"/>
              </w:rPr>
              <w:t>瘴</w:t>
            </w:r>
            <w:proofErr w:type="gramEnd"/>
            <w:r w:rsidRPr="00A728FF">
              <w:rPr>
                <w:rFonts w:ascii="Times New Roman" w:eastAsia="方正小标宋简体" w:hAnsi="Times New Roman" w:cs="Times New Roman"/>
                <w:bCs/>
                <w:kern w:val="0"/>
                <w:sz w:val="40"/>
                <w:szCs w:val="40"/>
              </w:rPr>
              <w:t>痼疾整治清单</w:t>
            </w:r>
          </w:p>
        </w:tc>
      </w:tr>
      <w:tr w:rsidR="00397027" w:rsidRPr="00A728FF" w:rsidTr="00C7333B">
        <w:trPr>
          <w:cantSplit/>
          <w:trHeight w:val="679"/>
          <w:jc w:val="center"/>
        </w:trPr>
        <w:tc>
          <w:tcPr>
            <w:tcW w:w="588"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序号</w:t>
            </w:r>
          </w:p>
        </w:tc>
        <w:tc>
          <w:tcPr>
            <w:tcW w:w="1080" w:type="dxa"/>
            <w:gridSpan w:val="2"/>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顽</w:t>
            </w:r>
            <w:proofErr w:type="gramStart"/>
            <w:r w:rsidRPr="00A728FF">
              <w:rPr>
                <w:rFonts w:ascii="Times New Roman" w:eastAsiaTheme="minorEastAsia" w:hAnsi="Times New Roman" w:cs="Times New Roman"/>
                <w:b/>
                <w:kern w:val="0"/>
                <w:sz w:val="22"/>
                <w:szCs w:val="21"/>
              </w:rPr>
              <w:t>瘴</w:t>
            </w:r>
            <w:proofErr w:type="gramEnd"/>
            <w:r w:rsidRPr="00A728FF">
              <w:rPr>
                <w:rFonts w:ascii="Times New Roman" w:eastAsiaTheme="minorEastAsia" w:hAnsi="Times New Roman" w:cs="Times New Roman"/>
                <w:b/>
                <w:kern w:val="0"/>
                <w:sz w:val="22"/>
                <w:szCs w:val="21"/>
              </w:rPr>
              <w:t>痼疾类型</w:t>
            </w:r>
          </w:p>
        </w:tc>
        <w:tc>
          <w:tcPr>
            <w:tcW w:w="1436"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具体问题</w:t>
            </w:r>
          </w:p>
        </w:tc>
        <w:tc>
          <w:tcPr>
            <w:tcW w:w="1740"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牵头责任单位</w:t>
            </w:r>
          </w:p>
        </w:tc>
        <w:tc>
          <w:tcPr>
            <w:tcW w:w="4063"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整治措施</w:t>
            </w:r>
            <w:bookmarkStart w:id="0" w:name="_GoBack"/>
            <w:bookmarkEnd w:id="0"/>
          </w:p>
        </w:tc>
        <w:tc>
          <w:tcPr>
            <w:tcW w:w="2924"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目标任务</w:t>
            </w:r>
          </w:p>
        </w:tc>
        <w:tc>
          <w:tcPr>
            <w:tcW w:w="1531"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进展情况</w:t>
            </w:r>
          </w:p>
        </w:tc>
        <w:tc>
          <w:tcPr>
            <w:tcW w:w="1002" w:type="dxa"/>
            <w:tcBorders>
              <w:top w:val="single" w:sz="4" w:space="0" w:color="auto"/>
            </w:tcBorders>
            <w:vAlign w:val="center"/>
          </w:tcPr>
          <w:p w:rsidR="00397027" w:rsidRPr="00A728FF" w:rsidRDefault="00397027" w:rsidP="006E6A19">
            <w:pPr>
              <w:widowControl/>
              <w:adjustRightInd w:val="0"/>
              <w:snapToGrid w:val="0"/>
              <w:jc w:val="center"/>
              <w:rPr>
                <w:rFonts w:ascii="Times New Roman" w:eastAsiaTheme="minorEastAsia" w:hAnsi="Times New Roman" w:cs="Times New Roman"/>
                <w:b/>
                <w:kern w:val="0"/>
                <w:sz w:val="22"/>
                <w:szCs w:val="21"/>
              </w:rPr>
            </w:pPr>
            <w:r w:rsidRPr="00A728FF">
              <w:rPr>
                <w:rFonts w:ascii="Times New Roman" w:eastAsiaTheme="minorEastAsia" w:hAnsi="Times New Roman" w:cs="Times New Roman"/>
                <w:b/>
                <w:kern w:val="0"/>
                <w:sz w:val="22"/>
                <w:szCs w:val="21"/>
              </w:rPr>
              <w:t>备注</w:t>
            </w:r>
          </w:p>
        </w:tc>
      </w:tr>
      <w:tr w:rsidR="00397027" w:rsidRPr="00A728FF" w:rsidTr="00867E86">
        <w:trPr>
          <w:cantSplit/>
          <w:trHeight w:val="1412"/>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w:t>
            </w:r>
          </w:p>
        </w:tc>
        <w:tc>
          <w:tcPr>
            <w:tcW w:w="1080" w:type="dxa"/>
            <w:gridSpan w:val="2"/>
            <w:vMerge w:val="restart"/>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风险</w:t>
            </w:r>
            <w:r w:rsidRPr="00A728FF">
              <w:rPr>
                <w:rFonts w:ascii="Times New Roman" w:eastAsiaTheme="minorEastAsia" w:hAnsi="Times New Roman" w:cs="Times New Roman"/>
                <w:kern w:val="0"/>
                <w:sz w:val="22"/>
                <w:szCs w:val="21"/>
              </w:rPr>
              <w:br/>
            </w:r>
            <w:r w:rsidRPr="00A728FF">
              <w:rPr>
                <w:rFonts w:ascii="Times New Roman" w:eastAsiaTheme="minorEastAsia" w:hAnsi="Times New Roman" w:cs="Times New Roman"/>
                <w:kern w:val="0"/>
                <w:sz w:val="22"/>
                <w:szCs w:val="21"/>
              </w:rPr>
              <w:t>路段</w:t>
            </w:r>
            <w:r w:rsidRPr="00A728FF">
              <w:rPr>
                <w:rFonts w:ascii="Times New Roman" w:eastAsiaTheme="minorEastAsia" w:hAnsi="Times New Roman" w:cs="Times New Roman"/>
                <w:kern w:val="0"/>
                <w:sz w:val="22"/>
                <w:szCs w:val="21"/>
              </w:rPr>
              <w:br/>
            </w:r>
            <w:r w:rsidRPr="00A728FF">
              <w:rPr>
                <w:rFonts w:ascii="Times New Roman" w:eastAsiaTheme="minorEastAsia" w:hAnsi="Times New Roman" w:cs="Times New Roman"/>
                <w:kern w:val="0"/>
                <w:sz w:val="22"/>
                <w:szCs w:val="21"/>
              </w:rPr>
              <w:t>问题</w:t>
            </w:r>
            <w:r w:rsidRPr="00A728FF">
              <w:rPr>
                <w:rFonts w:ascii="Times New Roman" w:eastAsiaTheme="minorEastAsia" w:hAnsi="Times New Roman" w:cs="Times New Roman"/>
                <w:kern w:val="0"/>
                <w:sz w:val="22"/>
                <w:szCs w:val="21"/>
              </w:rPr>
              <w:br/>
            </w:r>
            <w:r w:rsidRPr="00A728FF">
              <w:rPr>
                <w:rFonts w:ascii="Times New Roman" w:eastAsiaTheme="minorEastAsia" w:hAnsi="Times New Roman" w:cs="Times New Roman"/>
                <w:kern w:val="0"/>
                <w:sz w:val="22"/>
                <w:szCs w:val="21"/>
              </w:rPr>
              <w:t>较多</w:t>
            </w:r>
          </w:p>
        </w:tc>
        <w:tc>
          <w:tcPr>
            <w:tcW w:w="1436" w:type="dxa"/>
            <w:vMerge w:val="restart"/>
            <w:tcBorders>
              <w:top w:val="single" w:sz="4" w:space="0" w:color="auto"/>
            </w:tcBorders>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部分路段事故风险突出</w:t>
            </w:r>
          </w:p>
        </w:tc>
        <w:tc>
          <w:tcPr>
            <w:tcW w:w="1740" w:type="dxa"/>
            <w:vMerge w:val="restart"/>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近</w:t>
            </w:r>
            <w:r w:rsidRPr="00A728FF">
              <w:rPr>
                <w:rFonts w:ascii="Times New Roman" w:eastAsiaTheme="minorEastAsia" w:hAnsi="Times New Roman" w:cs="Times New Roman"/>
                <w:kern w:val="0"/>
                <w:sz w:val="22"/>
                <w:szCs w:val="21"/>
              </w:rPr>
              <w:t>3</w:t>
            </w:r>
            <w:r w:rsidRPr="00A728FF">
              <w:rPr>
                <w:rFonts w:ascii="Times New Roman" w:eastAsiaTheme="minorEastAsia" w:hAnsi="Times New Roman" w:cs="Times New Roman"/>
                <w:kern w:val="0"/>
                <w:sz w:val="22"/>
                <w:szCs w:val="21"/>
              </w:rPr>
              <w:t>年发生翻坠事故的重大隐患路段以及发生伤亡交通事故的双向四车道路段、平交路口、</w:t>
            </w:r>
            <w:proofErr w:type="gramStart"/>
            <w:r w:rsidRPr="00A728FF">
              <w:rPr>
                <w:rFonts w:ascii="Times New Roman" w:eastAsiaTheme="minorEastAsia" w:hAnsi="Times New Roman" w:cs="Times New Roman"/>
                <w:kern w:val="0"/>
                <w:sz w:val="22"/>
                <w:szCs w:val="21"/>
              </w:rPr>
              <w:t>长陡下坡</w:t>
            </w:r>
            <w:proofErr w:type="gramEnd"/>
            <w:r w:rsidRPr="00A728FF">
              <w:rPr>
                <w:rFonts w:ascii="Times New Roman" w:eastAsiaTheme="minorEastAsia" w:hAnsi="Times New Roman" w:cs="Times New Roman"/>
                <w:kern w:val="0"/>
                <w:sz w:val="22"/>
                <w:szCs w:val="21"/>
              </w:rPr>
              <w:t>等</w:t>
            </w:r>
            <w:r w:rsidRPr="00A728FF">
              <w:rPr>
                <w:rFonts w:ascii="Times New Roman" w:eastAsiaTheme="minorEastAsia" w:hAnsi="Times New Roman" w:cs="Times New Roman"/>
                <w:kern w:val="0"/>
                <w:sz w:val="22"/>
                <w:szCs w:val="21"/>
              </w:rPr>
              <w:t>4</w:t>
            </w:r>
            <w:r w:rsidRPr="00A728FF">
              <w:rPr>
                <w:rFonts w:ascii="Times New Roman" w:eastAsiaTheme="minorEastAsia" w:hAnsi="Times New Roman" w:cs="Times New Roman"/>
                <w:kern w:val="0"/>
                <w:sz w:val="22"/>
                <w:szCs w:val="21"/>
              </w:rPr>
              <w:t>类隐患点段进行排查，形成</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账，制定整改方案。</w:t>
            </w:r>
          </w:p>
        </w:tc>
        <w:tc>
          <w:tcPr>
            <w:tcW w:w="2924"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自《细则》下发日起</w:t>
            </w:r>
            <w:r w:rsidRPr="00A728FF">
              <w:rPr>
                <w:rFonts w:ascii="Times New Roman" w:eastAsiaTheme="minorEastAsia" w:hAnsi="Times New Roman" w:cs="Times New Roman"/>
                <w:kern w:val="0"/>
                <w:sz w:val="22"/>
                <w:szCs w:val="21"/>
              </w:rPr>
              <w:t>30</w:t>
            </w:r>
            <w:r w:rsidRPr="00A728FF">
              <w:rPr>
                <w:rFonts w:ascii="Times New Roman" w:eastAsiaTheme="minorEastAsia" w:hAnsi="Times New Roman" w:cs="Times New Roman"/>
                <w:kern w:val="0"/>
                <w:sz w:val="22"/>
                <w:szCs w:val="21"/>
              </w:rPr>
              <w:t>日内</w:t>
            </w:r>
            <w:proofErr w:type="gramStart"/>
            <w:r w:rsidRPr="00A728FF">
              <w:rPr>
                <w:rFonts w:ascii="Times New Roman" w:eastAsiaTheme="minorEastAsia" w:hAnsi="Times New Roman" w:cs="Times New Roman"/>
                <w:kern w:val="0"/>
                <w:sz w:val="22"/>
                <w:szCs w:val="21"/>
              </w:rPr>
              <w:t>上报台账及</w:t>
            </w:r>
            <w:proofErr w:type="gramEnd"/>
            <w:r w:rsidRPr="00A728FF">
              <w:rPr>
                <w:rFonts w:ascii="Times New Roman" w:eastAsiaTheme="minorEastAsia" w:hAnsi="Times New Roman" w:cs="Times New Roman"/>
                <w:kern w:val="0"/>
                <w:sz w:val="22"/>
                <w:szCs w:val="21"/>
              </w:rPr>
              <w:t>整改方案。</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C7333B">
        <w:trPr>
          <w:cantSplit/>
          <w:trHeight w:val="1014"/>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2</w:t>
            </w:r>
          </w:p>
        </w:tc>
        <w:tc>
          <w:tcPr>
            <w:tcW w:w="1080" w:type="dxa"/>
            <w:gridSpan w:val="2"/>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436" w:type="dxa"/>
            <w:vMerge/>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p>
        </w:tc>
        <w:tc>
          <w:tcPr>
            <w:tcW w:w="1740" w:type="dxa"/>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4063" w:type="dxa"/>
            <w:tcBorders>
              <w:top w:val="single" w:sz="4" w:space="0" w:color="auto"/>
            </w:tcBorders>
            <w:vAlign w:val="center"/>
          </w:tcPr>
          <w:p w:rsidR="00397027" w:rsidRPr="00A728FF" w:rsidRDefault="00397027" w:rsidP="005551A8">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账，完成辖区内城市道路事故风险突出路段的治理任务。</w:t>
            </w:r>
          </w:p>
        </w:tc>
        <w:tc>
          <w:tcPr>
            <w:tcW w:w="2924"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截至</w:t>
            </w:r>
            <w:r w:rsidRPr="00A728FF">
              <w:rPr>
                <w:rFonts w:ascii="Times New Roman" w:eastAsiaTheme="minorEastAsia" w:hAnsi="Times New Roman" w:cs="Times New Roman"/>
                <w:kern w:val="0"/>
                <w:sz w:val="22"/>
                <w:szCs w:val="21"/>
              </w:rPr>
              <w:t>2021</w:t>
            </w:r>
            <w:r w:rsidRPr="00A728FF">
              <w:rPr>
                <w:rFonts w:ascii="Times New Roman" w:eastAsiaTheme="minorEastAsia" w:hAnsi="Times New Roman" w:cs="Times New Roman"/>
                <w:kern w:val="0"/>
                <w:sz w:val="22"/>
                <w:szCs w:val="21"/>
              </w:rPr>
              <w:t>年</w:t>
            </w:r>
            <w:r w:rsidRPr="00A728FF">
              <w:rPr>
                <w:rFonts w:ascii="Times New Roman" w:eastAsiaTheme="minorEastAsia" w:hAnsi="Times New Roman" w:cs="Times New Roman"/>
                <w:kern w:val="0"/>
                <w:sz w:val="22"/>
                <w:szCs w:val="21"/>
              </w:rPr>
              <w:t>11</w:t>
            </w:r>
            <w:r w:rsidRPr="00A728FF">
              <w:rPr>
                <w:rFonts w:ascii="Times New Roman" w:eastAsiaTheme="minorEastAsia" w:hAnsi="Times New Roman" w:cs="Times New Roman"/>
                <w:kern w:val="0"/>
                <w:sz w:val="22"/>
                <w:szCs w:val="21"/>
              </w:rPr>
              <w:t>月底，</w:t>
            </w:r>
            <w:r w:rsidRPr="00A728FF">
              <w:rPr>
                <w:rFonts w:ascii="Times New Roman" w:eastAsiaTheme="minorEastAsia" w:hAnsi="Times New Roman" w:cs="Times New Roman"/>
                <w:kern w:val="0"/>
                <w:sz w:val="22"/>
                <w:szCs w:val="21"/>
              </w:rPr>
              <w:t>4</w:t>
            </w:r>
            <w:r w:rsidRPr="00A728FF">
              <w:rPr>
                <w:rFonts w:ascii="Times New Roman" w:eastAsiaTheme="minorEastAsia" w:hAnsi="Times New Roman" w:cs="Times New Roman"/>
                <w:kern w:val="0"/>
                <w:sz w:val="22"/>
                <w:szCs w:val="21"/>
              </w:rPr>
              <w:t>类</w:t>
            </w:r>
            <w:r w:rsidR="00CE1F41" w:rsidRPr="00A728FF">
              <w:rPr>
                <w:rFonts w:ascii="Times New Roman" w:eastAsiaTheme="minorEastAsia" w:hAnsi="Times New Roman" w:cs="Times New Roman"/>
                <w:kern w:val="0"/>
                <w:sz w:val="22"/>
                <w:szCs w:val="21"/>
              </w:rPr>
              <w:t>隐患点段整改率达</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C7333B">
        <w:trPr>
          <w:cantSplit/>
          <w:trHeight w:val="1128"/>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3</w:t>
            </w:r>
          </w:p>
        </w:tc>
        <w:tc>
          <w:tcPr>
            <w:tcW w:w="1080" w:type="dxa"/>
            <w:gridSpan w:val="2"/>
            <w:vMerge w:val="restart"/>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城市道路（桥梁、隧道）设计、施工缺陷</w:t>
            </w:r>
          </w:p>
        </w:tc>
        <w:tc>
          <w:tcPr>
            <w:tcW w:w="1436" w:type="dxa"/>
            <w:vMerge w:val="restart"/>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未落实道路交通安全设施</w:t>
            </w:r>
            <w:r w:rsidRPr="00A728FF">
              <w:rPr>
                <w:rFonts w:ascii="Times New Roman" w:eastAsiaTheme="minorEastAsia" w:hAnsi="Times New Roman" w:cs="Times New Roman"/>
                <w:b/>
                <w:bCs/>
                <w:kern w:val="0"/>
                <w:sz w:val="22"/>
                <w:szCs w:val="21"/>
              </w:rPr>
              <w:t>“</w:t>
            </w:r>
            <w:r w:rsidRPr="00A728FF">
              <w:rPr>
                <w:rFonts w:ascii="Times New Roman" w:eastAsiaTheme="minorEastAsia" w:hAnsi="Times New Roman" w:cs="Times New Roman"/>
                <w:b/>
                <w:bCs/>
                <w:kern w:val="0"/>
                <w:sz w:val="22"/>
                <w:szCs w:val="21"/>
              </w:rPr>
              <w:t>三同时</w:t>
            </w:r>
            <w:r w:rsidRPr="00A728FF">
              <w:rPr>
                <w:rFonts w:ascii="Times New Roman" w:eastAsiaTheme="minorEastAsia" w:hAnsi="Times New Roman" w:cs="Times New Roman"/>
                <w:b/>
                <w:bCs/>
                <w:kern w:val="0"/>
                <w:sz w:val="22"/>
                <w:szCs w:val="21"/>
              </w:rPr>
              <w:t>”</w:t>
            </w:r>
            <w:r w:rsidRPr="00A728FF">
              <w:rPr>
                <w:rFonts w:ascii="Times New Roman" w:eastAsiaTheme="minorEastAsia" w:hAnsi="Times New Roman" w:cs="Times New Roman"/>
                <w:b/>
                <w:bCs/>
                <w:kern w:val="0"/>
                <w:sz w:val="22"/>
                <w:szCs w:val="21"/>
              </w:rPr>
              <w:t>制度</w:t>
            </w:r>
          </w:p>
        </w:tc>
        <w:tc>
          <w:tcPr>
            <w:tcW w:w="1740" w:type="dxa"/>
            <w:vMerge w:val="restart"/>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w:t>
            </w:r>
          </w:p>
        </w:tc>
        <w:tc>
          <w:tcPr>
            <w:tcW w:w="4063" w:type="dxa"/>
            <w:tcBorders>
              <w:top w:val="single" w:sz="4" w:space="0" w:color="auto"/>
            </w:tcBorders>
            <w:vAlign w:val="center"/>
          </w:tcPr>
          <w:p w:rsidR="00397027" w:rsidRPr="00A728FF" w:rsidRDefault="00397027" w:rsidP="00997F81">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排查辖区未落实道路交通安全设施</w:t>
            </w:r>
            <w:r w:rsidRPr="00A728FF">
              <w:rPr>
                <w:rFonts w:ascii="Times New Roman" w:eastAsiaTheme="minorEastAsia" w:hAnsi="Times New Roman" w:cs="Times New Roman"/>
                <w:kern w:val="0"/>
                <w:sz w:val="22"/>
                <w:szCs w:val="21"/>
              </w:rPr>
              <w:t>“</w:t>
            </w:r>
            <w:r w:rsidRPr="00A728FF">
              <w:rPr>
                <w:rFonts w:ascii="Times New Roman" w:eastAsiaTheme="minorEastAsia" w:hAnsi="Times New Roman" w:cs="Times New Roman"/>
                <w:kern w:val="0"/>
                <w:sz w:val="22"/>
                <w:szCs w:val="21"/>
              </w:rPr>
              <w:t>三同时</w:t>
            </w:r>
            <w:r w:rsidRPr="00A728FF">
              <w:rPr>
                <w:rFonts w:ascii="Times New Roman" w:eastAsiaTheme="minorEastAsia" w:hAnsi="Times New Roman" w:cs="Times New Roman"/>
                <w:kern w:val="0"/>
                <w:sz w:val="22"/>
                <w:szCs w:val="21"/>
              </w:rPr>
              <w:t>”</w:t>
            </w:r>
            <w:r w:rsidRPr="00A728FF">
              <w:rPr>
                <w:rFonts w:ascii="Times New Roman" w:eastAsiaTheme="minorEastAsia" w:hAnsi="Times New Roman" w:cs="Times New Roman"/>
                <w:kern w:val="0"/>
                <w:sz w:val="22"/>
                <w:szCs w:val="21"/>
              </w:rPr>
              <w:t>制度的新、改、扩建道路。</w:t>
            </w:r>
          </w:p>
        </w:tc>
        <w:tc>
          <w:tcPr>
            <w:tcW w:w="2924"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自《细则》下发日起</w:t>
            </w:r>
            <w:r w:rsidRPr="00A728FF">
              <w:rPr>
                <w:rFonts w:ascii="Times New Roman" w:eastAsiaTheme="minorEastAsia" w:hAnsi="Times New Roman" w:cs="Times New Roman"/>
                <w:kern w:val="0"/>
                <w:sz w:val="22"/>
                <w:szCs w:val="21"/>
              </w:rPr>
              <w:t>30</w:t>
            </w:r>
            <w:r w:rsidRPr="00A728FF">
              <w:rPr>
                <w:rFonts w:ascii="Times New Roman" w:eastAsiaTheme="minorEastAsia" w:hAnsi="Times New Roman" w:cs="Times New Roman"/>
                <w:kern w:val="0"/>
                <w:sz w:val="22"/>
                <w:szCs w:val="21"/>
              </w:rPr>
              <w:t>日内</w:t>
            </w:r>
            <w:proofErr w:type="gramStart"/>
            <w:r w:rsidRPr="00A728FF">
              <w:rPr>
                <w:rFonts w:ascii="Times New Roman" w:eastAsiaTheme="minorEastAsia" w:hAnsi="Times New Roman" w:cs="Times New Roman"/>
                <w:kern w:val="0"/>
                <w:sz w:val="22"/>
                <w:szCs w:val="21"/>
              </w:rPr>
              <w:t>上报台账及</w:t>
            </w:r>
            <w:proofErr w:type="gramEnd"/>
            <w:r w:rsidRPr="00A728FF">
              <w:rPr>
                <w:rFonts w:ascii="Times New Roman" w:eastAsiaTheme="minorEastAsia" w:hAnsi="Times New Roman" w:cs="Times New Roman"/>
                <w:kern w:val="0"/>
                <w:sz w:val="22"/>
                <w:szCs w:val="21"/>
              </w:rPr>
              <w:t>整改方案。</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C7333B">
        <w:trPr>
          <w:cantSplit/>
          <w:trHeight w:val="1130"/>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4</w:t>
            </w:r>
          </w:p>
        </w:tc>
        <w:tc>
          <w:tcPr>
            <w:tcW w:w="1080" w:type="dxa"/>
            <w:gridSpan w:val="2"/>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436" w:type="dxa"/>
            <w:vMerge/>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p>
        </w:tc>
        <w:tc>
          <w:tcPr>
            <w:tcW w:w="1740" w:type="dxa"/>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4063" w:type="dxa"/>
            <w:tcBorders>
              <w:top w:val="single" w:sz="4" w:space="0" w:color="auto"/>
            </w:tcBorders>
            <w:vAlign w:val="center"/>
          </w:tcPr>
          <w:p w:rsidR="00397027" w:rsidRPr="00A728FF" w:rsidRDefault="00397027" w:rsidP="00997F81">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账，严格落实新、改、扩建道路交通安全设施</w:t>
            </w:r>
            <w:r w:rsidRPr="00A728FF">
              <w:rPr>
                <w:rFonts w:ascii="Times New Roman" w:eastAsiaTheme="minorEastAsia" w:hAnsi="Times New Roman" w:cs="Times New Roman"/>
                <w:kern w:val="0"/>
                <w:sz w:val="22"/>
                <w:szCs w:val="21"/>
              </w:rPr>
              <w:t>“</w:t>
            </w:r>
            <w:r w:rsidRPr="00A728FF">
              <w:rPr>
                <w:rFonts w:ascii="Times New Roman" w:eastAsiaTheme="minorEastAsia" w:hAnsi="Times New Roman" w:cs="Times New Roman"/>
                <w:kern w:val="0"/>
                <w:sz w:val="22"/>
                <w:szCs w:val="21"/>
              </w:rPr>
              <w:t>三同时</w:t>
            </w:r>
            <w:r w:rsidRPr="00A728FF">
              <w:rPr>
                <w:rFonts w:ascii="Times New Roman" w:eastAsiaTheme="minorEastAsia" w:hAnsi="Times New Roman" w:cs="Times New Roman"/>
                <w:kern w:val="0"/>
                <w:sz w:val="22"/>
                <w:szCs w:val="21"/>
              </w:rPr>
              <w:t>”</w:t>
            </w:r>
            <w:r w:rsidRPr="00A728FF">
              <w:rPr>
                <w:rFonts w:ascii="Times New Roman" w:eastAsiaTheme="minorEastAsia" w:hAnsi="Times New Roman" w:cs="Times New Roman"/>
                <w:kern w:val="0"/>
                <w:sz w:val="22"/>
                <w:szCs w:val="21"/>
              </w:rPr>
              <w:t>制度。未经验收合格的，一律不得通车运行。</w:t>
            </w:r>
          </w:p>
        </w:tc>
        <w:tc>
          <w:tcPr>
            <w:tcW w:w="2924" w:type="dxa"/>
            <w:tcBorders>
              <w:top w:val="single" w:sz="4" w:space="0" w:color="auto"/>
            </w:tcBorders>
            <w:vAlign w:val="center"/>
          </w:tcPr>
          <w:p w:rsidR="00397027" w:rsidRPr="00A728FF" w:rsidRDefault="00397027" w:rsidP="006A6D42">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截至</w:t>
            </w:r>
            <w:r w:rsidRPr="00A728FF">
              <w:rPr>
                <w:rFonts w:ascii="Times New Roman" w:eastAsiaTheme="minorEastAsia" w:hAnsi="Times New Roman" w:cs="Times New Roman"/>
                <w:kern w:val="0"/>
                <w:sz w:val="22"/>
                <w:szCs w:val="21"/>
              </w:rPr>
              <w:t>2021</w:t>
            </w:r>
            <w:r w:rsidRPr="00A728FF">
              <w:rPr>
                <w:rFonts w:ascii="Times New Roman" w:eastAsiaTheme="minorEastAsia" w:hAnsi="Times New Roman" w:cs="Times New Roman"/>
                <w:kern w:val="0"/>
                <w:sz w:val="22"/>
                <w:szCs w:val="21"/>
              </w:rPr>
              <w:t>年</w:t>
            </w:r>
            <w:r w:rsidRPr="00A728FF">
              <w:rPr>
                <w:rFonts w:ascii="Times New Roman" w:eastAsiaTheme="minorEastAsia" w:hAnsi="Times New Roman" w:cs="Times New Roman"/>
                <w:kern w:val="0"/>
                <w:sz w:val="22"/>
                <w:szCs w:val="21"/>
              </w:rPr>
              <w:t>11</w:t>
            </w:r>
            <w:r w:rsidR="00CE1F41" w:rsidRPr="00A728FF">
              <w:rPr>
                <w:rFonts w:ascii="Times New Roman" w:eastAsiaTheme="minorEastAsia" w:hAnsi="Times New Roman" w:cs="Times New Roman"/>
                <w:kern w:val="0"/>
                <w:sz w:val="22"/>
                <w:szCs w:val="21"/>
              </w:rPr>
              <w:t>月底，隐患路段整改率达</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C7333B">
        <w:trPr>
          <w:cantSplit/>
          <w:trHeight w:val="976"/>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5</w:t>
            </w:r>
          </w:p>
        </w:tc>
        <w:tc>
          <w:tcPr>
            <w:tcW w:w="1080" w:type="dxa"/>
            <w:gridSpan w:val="2"/>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436" w:type="dxa"/>
            <w:vMerge w:val="restart"/>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城市道路</w:t>
            </w:r>
            <w:r w:rsidRPr="00A728FF">
              <w:rPr>
                <w:rFonts w:ascii="Times New Roman" w:eastAsiaTheme="minorEastAsia" w:hAnsi="Times New Roman" w:cs="Times New Roman"/>
                <w:b/>
                <w:bCs/>
                <w:kern w:val="0"/>
                <w:sz w:val="22"/>
                <w:szCs w:val="21"/>
              </w:rPr>
              <w:t>1</w:t>
            </w:r>
            <w:r w:rsidRPr="00A728FF">
              <w:rPr>
                <w:rFonts w:ascii="Times New Roman" w:eastAsiaTheme="minorEastAsia" w:hAnsi="Times New Roman" w:cs="Times New Roman"/>
                <w:b/>
                <w:bCs/>
                <w:kern w:val="0"/>
                <w:sz w:val="22"/>
                <w:szCs w:val="21"/>
              </w:rPr>
              <w:t>公里以上长下坡重大隐患路段</w:t>
            </w:r>
          </w:p>
        </w:tc>
        <w:tc>
          <w:tcPr>
            <w:tcW w:w="1740" w:type="dxa"/>
            <w:vMerge w:val="restart"/>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tcBorders>
              <w:top w:val="single" w:sz="4" w:space="0" w:color="auto"/>
            </w:tcBorders>
            <w:vAlign w:val="center"/>
          </w:tcPr>
          <w:p w:rsidR="00397027" w:rsidRPr="00A728FF" w:rsidRDefault="00397027" w:rsidP="00B62B43">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排查辖区城市道路</w:t>
            </w:r>
            <w:r w:rsidRPr="00A728FF">
              <w:rPr>
                <w:rFonts w:ascii="Times New Roman" w:eastAsiaTheme="minorEastAsia" w:hAnsi="Times New Roman" w:cs="Times New Roman"/>
                <w:kern w:val="0"/>
                <w:sz w:val="22"/>
                <w:szCs w:val="21"/>
              </w:rPr>
              <w:t>1</w:t>
            </w:r>
            <w:r w:rsidRPr="00A728FF">
              <w:rPr>
                <w:rFonts w:ascii="Times New Roman" w:eastAsiaTheme="minorEastAsia" w:hAnsi="Times New Roman" w:cs="Times New Roman"/>
                <w:kern w:val="0"/>
                <w:sz w:val="22"/>
                <w:szCs w:val="21"/>
              </w:rPr>
              <w:t>公里以上长下坡重大隐患路段，形成</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账，制定整改方案。</w:t>
            </w:r>
          </w:p>
        </w:tc>
        <w:tc>
          <w:tcPr>
            <w:tcW w:w="2924"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自《细则》下发日起</w:t>
            </w:r>
            <w:r w:rsidRPr="00A728FF">
              <w:rPr>
                <w:rFonts w:ascii="Times New Roman" w:eastAsiaTheme="minorEastAsia" w:hAnsi="Times New Roman" w:cs="Times New Roman"/>
                <w:kern w:val="0"/>
                <w:sz w:val="22"/>
                <w:szCs w:val="21"/>
              </w:rPr>
              <w:t>30</w:t>
            </w:r>
            <w:r w:rsidRPr="00A728FF">
              <w:rPr>
                <w:rFonts w:ascii="Times New Roman" w:eastAsiaTheme="minorEastAsia" w:hAnsi="Times New Roman" w:cs="Times New Roman"/>
                <w:kern w:val="0"/>
                <w:sz w:val="22"/>
                <w:szCs w:val="21"/>
              </w:rPr>
              <w:t>日内</w:t>
            </w:r>
            <w:proofErr w:type="gramStart"/>
            <w:r w:rsidRPr="00A728FF">
              <w:rPr>
                <w:rFonts w:ascii="Times New Roman" w:eastAsiaTheme="minorEastAsia" w:hAnsi="Times New Roman" w:cs="Times New Roman"/>
                <w:kern w:val="0"/>
                <w:sz w:val="22"/>
                <w:szCs w:val="21"/>
              </w:rPr>
              <w:t>上报台账及</w:t>
            </w:r>
            <w:proofErr w:type="gramEnd"/>
            <w:r w:rsidRPr="00A728FF">
              <w:rPr>
                <w:rFonts w:ascii="Times New Roman" w:eastAsiaTheme="minorEastAsia" w:hAnsi="Times New Roman" w:cs="Times New Roman"/>
                <w:kern w:val="0"/>
                <w:sz w:val="22"/>
                <w:szCs w:val="21"/>
              </w:rPr>
              <w:t>整改方案。</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867E86">
        <w:trPr>
          <w:cantSplit/>
          <w:trHeight w:val="853"/>
          <w:jc w:val="center"/>
        </w:trPr>
        <w:tc>
          <w:tcPr>
            <w:tcW w:w="588"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6</w:t>
            </w:r>
          </w:p>
        </w:tc>
        <w:tc>
          <w:tcPr>
            <w:tcW w:w="1080" w:type="dxa"/>
            <w:gridSpan w:val="2"/>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436" w:type="dxa"/>
            <w:vMerge/>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p>
        </w:tc>
        <w:tc>
          <w:tcPr>
            <w:tcW w:w="1740" w:type="dxa"/>
            <w:vMerge/>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4063" w:type="dxa"/>
            <w:tcBorders>
              <w:top w:val="single" w:sz="4" w:space="0" w:color="auto"/>
            </w:tcBorders>
            <w:vAlign w:val="center"/>
          </w:tcPr>
          <w:p w:rsidR="00397027" w:rsidRPr="00A728FF" w:rsidRDefault="00397027" w:rsidP="00997F81">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账，集中治理</w:t>
            </w:r>
            <w:r w:rsidRPr="00A728FF">
              <w:rPr>
                <w:rFonts w:ascii="Times New Roman" w:eastAsiaTheme="minorEastAsia" w:hAnsi="Times New Roman" w:cs="Times New Roman"/>
                <w:kern w:val="0"/>
                <w:sz w:val="22"/>
                <w:szCs w:val="21"/>
              </w:rPr>
              <w:t>1</w:t>
            </w:r>
            <w:r w:rsidRPr="00A728FF">
              <w:rPr>
                <w:rFonts w:ascii="Times New Roman" w:eastAsiaTheme="minorEastAsia" w:hAnsi="Times New Roman" w:cs="Times New Roman"/>
                <w:kern w:val="0"/>
                <w:sz w:val="22"/>
                <w:szCs w:val="21"/>
              </w:rPr>
              <w:t>公里以上长下坡重大隐患路段。</w:t>
            </w:r>
          </w:p>
        </w:tc>
        <w:tc>
          <w:tcPr>
            <w:tcW w:w="2924" w:type="dxa"/>
            <w:tcBorders>
              <w:top w:val="single" w:sz="4" w:space="0" w:color="auto"/>
            </w:tcBorders>
            <w:vAlign w:val="center"/>
          </w:tcPr>
          <w:p w:rsidR="00397027" w:rsidRPr="00A728FF" w:rsidRDefault="00397027" w:rsidP="001B7D7A">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截至</w:t>
            </w:r>
            <w:r w:rsidRPr="00A728FF">
              <w:rPr>
                <w:rFonts w:ascii="Times New Roman" w:eastAsiaTheme="minorEastAsia" w:hAnsi="Times New Roman" w:cs="Times New Roman"/>
                <w:kern w:val="0"/>
                <w:sz w:val="22"/>
                <w:szCs w:val="21"/>
              </w:rPr>
              <w:t>2021</w:t>
            </w:r>
            <w:r w:rsidRPr="00A728FF">
              <w:rPr>
                <w:rFonts w:ascii="Times New Roman" w:eastAsiaTheme="minorEastAsia" w:hAnsi="Times New Roman" w:cs="Times New Roman"/>
                <w:kern w:val="0"/>
                <w:sz w:val="22"/>
                <w:szCs w:val="21"/>
              </w:rPr>
              <w:t>年</w:t>
            </w:r>
            <w:r w:rsidRPr="00A728FF">
              <w:rPr>
                <w:rFonts w:ascii="Times New Roman" w:eastAsiaTheme="minorEastAsia" w:hAnsi="Times New Roman" w:cs="Times New Roman"/>
                <w:kern w:val="0"/>
                <w:sz w:val="22"/>
                <w:szCs w:val="21"/>
              </w:rPr>
              <w:t>11</w:t>
            </w:r>
            <w:r w:rsidRPr="00A728FF">
              <w:rPr>
                <w:rFonts w:ascii="Times New Roman" w:eastAsiaTheme="minorEastAsia" w:hAnsi="Times New Roman" w:cs="Times New Roman"/>
                <w:kern w:val="0"/>
                <w:sz w:val="22"/>
                <w:szCs w:val="21"/>
              </w:rPr>
              <w:t>月底，隐患路段整改率达</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w:t>
            </w:r>
          </w:p>
        </w:tc>
        <w:tc>
          <w:tcPr>
            <w:tcW w:w="1531"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1B7D7A">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867E86">
        <w:trPr>
          <w:cantSplit/>
          <w:trHeight w:val="2257"/>
          <w:jc w:val="center"/>
        </w:trPr>
        <w:tc>
          <w:tcPr>
            <w:tcW w:w="588"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lastRenderedPageBreak/>
              <w:t>7</w:t>
            </w:r>
          </w:p>
        </w:tc>
        <w:tc>
          <w:tcPr>
            <w:tcW w:w="1080" w:type="dxa"/>
            <w:gridSpan w:val="2"/>
            <w:vMerge/>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c>
          <w:tcPr>
            <w:tcW w:w="1436" w:type="dxa"/>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设计存在缺陷导致安全隐患</w:t>
            </w:r>
          </w:p>
        </w:tc>
        <w:tc>
          <w:tcPr>
            <w:tcW w:w="1740" w:type="dxa"/>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w:t>
            </w:r>
          </w:p>
        </w:tc>
        <w:tc>
          <w:tcPr>
            <w:tcW w:w="4063" w:type="dxa"/>
            <w:tcBorders>
              <w:top w:val="single" w:sz="4" w:space="0" w:color="auto"/>
            </w:tcBorders>
            <w:vAlign w:val="center"/>
          </w:tcPr>
          <w:p w:rsidR="00397027" w:rsidRPr="00A728FF" w:rsidRDefault="00397027" w:rsidP="000A7AFB">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加强对在建、拟建城市道路（桥梁、隧道）进行安全评估工作，综合考虑城市道路（桥梁、隧道）工程设计中可能存在的安全问题、风险问题、质量问题。对已建城市道路（桥梁、隧道）开展集中排查，对因设计考虑不周而存在安全隐患的进行全面检测评估，并</w:t>
            </w:r>
            <w:proofErr w:type="gramStart"/>
            <w:r w:rsidRPr="00A728FF">
              <w:rPr>
                <w:rFonts w:ascii="Times New Roman" w:eastAsiaTheme="minorEastAsia" w:hAnsi="Times New Roman" w:cs="Times New Roman"/>
                <w:kern w:val="0"/>
                <w:sz w:val="22"/>
                <w:szCs w:val="21"/>
              </w:rPr>
              <w:t>形成台</w:t>
            </w:r>
            <w:proofErr w:type="gramEnd"/>
            <w:r w:rsidRPr="00A728FF">
              <w:rPr>
                <w:rFonts w:ascii="Times New Roman" w:eastAsiaTheme="minorEastAsia" w:hAnsi="Times New Roman" w:cs="Times New Roman"/>
                <w:kern w:val="0"/>
                <w:sz w:val="22"/>
                <w:szCs w:val="21"/>
              </w:rPr>
              <w:t>账。</w:t>
            </w:r>
          </w:p>
        </w:tc>
        <w:tc>
          <w:tcPr>
            <w:tcW w:w="2924" w:type="dxa"/>
            <w:tcBorders>
              <w:top w:val="single" w:sz="4" w:space="0" w:color="auto"/>
            </w:tcBorders>
            <w:vAlign w:val="center"/>
          </w:tcPr>
          <w:p w:rsidR="00397027" w:rsidRPr="00A728FF" w:rsidRDefault="00397027" w:rsidP="000A7AFB">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账，确保整改后符合设计标准、规范要求。</w:t>
            </w:r>
          </w:p>
        </w:tc>
        <w:tc>
          <w:tcPr>
            <w:tcW w:w="1531"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867E86">
        <w:trPr>
          <w:cantSplit/>
          <w:trHeight w:val="2402"/>
          <w:jc w:val="center"/>
        </w:trPr>
        <w:tc>
          <w:tcPr>
            <w:tcW w:w="588"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8</w:t>
            </w:r>
          </w:p>
        </w:tc>
        <w:tc>
          <w:tcPr>
            <w:tcW w:w="1080" w:type="dxa"/>
            <w:gridSpan w:val="2"/>
            <w:vMerge/>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c>
          <w:tcPr>
            <w:tcW w:w="1436" w:type="dxa"/>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施工存在缺陷导致安全隐患</w:t>
            </w:r>
          </w:p>
        </w:tc>
        <w:tc>
          <w:tcPr>
            <w:tcW w:w="1740" w:type="dxa"/>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w:t>
            </w:r>
          </w:p>
        </w:tc>
        <w:tc>
          <w:tcPr>
            <w:tcW w:w="4063" w:type="dxa"/>
            <w:tcBorders>
              <w:top w:val="single" w:sz="4" w:space="0" w:color="auto"/>
            </w:tcBorders>
            <w:vAlign w:val="center"/>
          </w:tcPr>
          <w:p w:rsidR="00397027" w:rsidRPr="00A728FF" w:rsidRDefault="00397027" w:rsidP="000A7AFB">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加强对在建城市道路（桥梁、隧道）的施工质量监督，开展施工缺陷集中排查整治，综合考虑城市道路（桥梁、隧道）工程施工过程中可能存在施工缺陷而导致的安全问题、风险问题、质量问题，建立台账，督促及时整改。重点对设计缺陷集中排查形成的</w:t>
            </w:r>
            <w:proofErr w:type="gramStart"/>
            <w:r w:rsidRPr="00A728FF">
              <w:rPr>
                <w:rFonts w:ascii="Times New Roman" w:eastAsiaTheme="minorEastAsia" w:hAnsi="Times New Roman" w:cs="Times New Roman"/>
                <w:kern w:val="0"/>
                <w:sz w:val="22"/>
                <w:szCs w:val="21"/>
              </w:rPr>
              <w:t>整治台账项目</w:t>
            </w:r>
            <w:proofErr w:type="gramEnd"/>
            <w:r w:rsidRPr="00A728FF">
              <w:rPr>
                <w:rFonts w:ascii="Times New Roman" w:eastAsiaTheme="minorEastAsia" w:hAnsi="Times New Roman" w:cs="Times New Roman"/>
                <w:kern w:val="0"/>
                <w:sz w:val="22"/>
                <w:szCs w:val="21"/>
              </w:rPr>
              <w:t>加强施工质量监督。</w:t>
            </w:r>
          </w:p>
        </w:tc>
        <w:tc>
          <w:tcPr>
            <w:tcW w:w="2924" w:type="dxa"/>
            <w:tcBorders>
              <w:top w:val="single" w:sz="4" w:space="0" w:color="auto"/>
            </w:tcBorders>
            <w:vAlign w:val="center"/>
          </w:tcPr>
          <w:p w:rsidR="00397027" w:rsidRPr="00A728FF" w:rsidRDefault="00397027" w:rsidP="000A7AFB">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账，确保整改后符合施工及验收标准、规范要求。</w:t>
            </w:r>
          </w:p>
        </w:tc>
        <w:tc>
          <w:tcPr>
            <w:tcW w:w="1531"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0A7AFB">
            <w:pPr>
              <w:widowControl/>
              <w:adjustRightInd w:val="0"/>
              <w:snapToGrid w:val="0"/>
              <w:jc w:val="center"/>
              <w:rPr>
                <w:rFonts w:ascii="Times New Roman" w:eastAsiaTheme="minorEastAsia" w:hAnsi="Times New Roman" w:cs="Times New Roman"/>
                <w:kern w:val="0"/>
                <w:sz w:val="22"/>
                <w:szCs w:val="21"/>
              </w:rPr>
            </w:pPr>
          </w:p>
        </w:tc>
      </w:tr>
      <w:tr w:rsidR="00397027" w:rsidRPr="00A728FF" w:rsidTr="00867E86">
        <w:trPr>
          <w:cantSplit/>
          <w:trHeight w:val="1402"/>
          <w:jc w:val="center"/>
        </w:trPr>
        <w:tc>
          <w:tcPr>
            <w:tcW w:w="588" w:type="dxa"/>
            <w:tcBorders>
              <w:top w:val="single" w:sz="4" w:space="0" w:color="auto"/>
            </w:tcBorders>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9</w:t>
            </w:r>
          </w:p>
        </w:tc>
        <w:tc>
          <w:tcPr>
            <w:tcW w:w="1080" w:type="dxa"/>
            <w:gridSpan w:val="2"/>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城市道路桥梁运行安全隐患</w:t>
            </w:r>
          </w:p>
        </w:tc>
        <w:tc>
          <w:tcPr>
            <w:tcW w:w="1436" w:type="dxa"/>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主体结构及附属设施存在安全隐患</w:t>
            </w:r>
          </w:p>
        </w:tc>
        <w:tc>
          <w:tcPr>
            <w:tcW w:w="1740" w:type="dxa"/>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tcBorders>
              <w:top w:val="single" w:sz="4" w:space="0" w:color="auto"/>
            </w:tcBorders>
            <w:vAlign w:val="center"/>
          </w:tcPr>
          <w:p w:rsidR="00397027" w:rsidRPr="00A728FF" w:rsidRDefault="00397027" w:rsidP="00B62B43">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按照相关法律法规、标准规范做好日常管养，形成排查</w:t>
            </w:r>
            <w:proofErr w:type="gramStart"/>
            <w:r w:rsidRPr="00A728FF">
              <w:rPr>
                <w:rFonts w:ascii="Times New Roman" w:eastAsiaTheme="minorEastAsia" w:hAnsi="Times New Roman" w:cs="Times New Roman"/>
                <w:kern w:val="0"/>
                <w:sz w:val="22"/>
                <w:szCs w:val="21"/>
              </w:rPr>
              <w:t>整治台</w:t>
            </w:r>
            <w:proofErr w:type="gramEnd"/>
            <w:r w:rsidRPr="00A728FF">
              <w:rPr>
                <w:rFonts w:ascii="Times New Roman" w:eastAsiaTheme="minorEastAsia" w:hAnsi="Times New Roman" w:cs="Times New Roman"/>
                <w:kern w:val="0"/>
                <w:sz w:val="22"/>
                <w:szCs w:val="21"/>
              </w:rPr>
              <w:t>账，制定整改方案，完成治理任务，确保城市道路桥梁主体及附属设施完好，安全标示标线完整。</w:t>
            </w:r>
          </w:p>
        </w:tc>
        <w:tc>
          <w:tcPr>
            <w:tcW w:w="2924"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分轻重缓急、分批分期完成维修加固改造工作。</w:t>
            </w:r>
          </w:p>
        </w:tc>
        <w:tc>
          <w:tcPr>
            <w:tcW w:w="1531"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r>
      <w:tr w:rsidR="00397027" w:rsidRPr="00A728FF" w:rsidTr="00F27E8A">
        <w:trPr>
          <w:cantSplit/>
          <w:trHeight w:val="1152"/>
          <w:jc w:val="center"/>
        </w:trPr>
        <w:tc>
          <w:tcPr>
            <w:tcW w:w="588" w:type="dxa"/>
            <w:tcBorders>
              <w:top w:val="single" w:sz="4" w:space="0" w:color="auto"/>
            </w:tcBorders>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10</w:t>
            </w:r>
          </w:p>
        </w:tc>
        <w:tc>
          <w:tcPr>
            <w:tcW w:w="1080" w:type="dxa"/>
            <w:gridSpan w:val="2"/>
            <w:vMerge w:val="restart"/>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城市隧道运行安全隐患</w:t>
            </w:r>
          </w:p>
        </w:tc>
        <w:tc>
          <w:tcPr>
            <w:tcW w:w="1436" w:type="dxa"/>
            <w:vMerge w:val="restart"/>
            <w:vAlign w:val="center"/>
          </w:tcPr>
          <w:p w:rsidR="00397027" w:rsidRPr="00A728FF" w:rsidRDefault="00397027" w:rsidP="00CE1F41">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城市隧道</w:t>
            </w:r>
            <w:r w:rsidR="00CE1F41" w:rsidRPr="00A728FF">
              <w:rPr>
                <w:rFonts w:ascii="Times New Roman" w:eastAsiaTheme="minorEastAsia" w:hAnsi="Times New Roman" w:cs="Times New Roman"/>
                <w:b/>
                <w:bCs/>
                <w:kern w:val="0"/>
                <w:sz w:val="22"/>
                <w:szCs w:val="21"/>
              </w:rPr>
              <w:t>土建结构、机电设施及交通安全设施</w:t>
            </w:r>
            <w:r w:rsidRPr="00A728FF">
              <w:rPr>
                <w:rFonts w:ascii="Times New Roman" w:eastAsiaTheme="minorEastAsia" w:hAnsi="Times New Roman" w:cs="Times New Roman"/>
                <w:b/>
                <w:bCs/>
                <w:kern w:val="0"/>
                <w:sz w:val="22"/>
                <w:szCs w:val="21"/>
              </w:rPr>
              <w:t>存在安全隐患</w:t>
            </w:r>
          </w:p>
        </w:tc>
        <w:tc>
          <w:tcPr>
            <w:tcW w:w="1740" w:type="dxa"/>
            <w:vMerge w:val="restart"/>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对辖区城市隧道交通安全、消防安全等设施隐患开展深度排查，形成</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账，制定整改方案。</w:t>
            </w:r>
          </w:p>
        </w:tc>
        <w:tc>
          <w:tcPr>
            <w:tcW w:w="2924"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自《细则》下发日起</w:t>
            </w:r>
            <w:r w:rsidRPr="00A728FF">
              <w:rPr>
                <w:rFonts w:ascii="Times New Roman" w:eastAsiaTheme="minorEastAsia" w:hAnsi="Times New Roman" w:cs="Times New Roman"/>
                <w:kern w:val="0"/>
                <w:sz w:val="22"/>
                <w:szCs w:val="21"/>
              </w:rPr>
              <w:t>30</w:t>
            </w:r>
            <w:r w:rsidRPr="00A728FF">
              <w:rPr>
                <w:rFonts w:ascii="Times New Roman" w:eastAsiaTheme="minorEastAsia" w:hAnsi="Times New Roman" w:cs="Times New Roman"/>
                <w:kern w:val="0"/>
                <w:sz w:val="22"/>
                <w:szCs w:val="21"/>
              </w:rPr>
              <w:t>日内</w:t>
            </w:r>
            <w:proofErr w:type="gramStart"/>
            <w:r w:rsidRPr="00A728FF">
              <w:rPr>
                <w:rFonts w:ascii="Times New Roman" w:eastAsiaTheme="minorEastAsia" w:hAnsi="Times New Roman" w:cs="Times New Roman"/>
                <w:kern w:val="0"/>
                <w:sz w:val="22"/>
                <w:szCs w:val="21"/>
              </w:rPr>
              <w:t>上报台账及</w:t>
            </w:r>
            <w:proofErr w:type="gramEnd"/>
            <w:r w:rsidRPr="00A728FF">
              <w:rPr>
                <w:rFonts w:ascii="Times New Roman" w:eastAsiaTheme="minorEastAsia" w:hAnsi="Times New Roman" w:cs="Times New Roman"/>
                <w:kern w:val="0"/>
                <w:sz w:val="22"/>
                <w:szCs w:val="21"/>
              </w:rPr>
              <w:t>整改方案。</w:t>
            </w:r>
          </w:p>
        </w:tc>
        <w:tc>
          <w:tcPr>
            <w:tcW w:w="1531"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r>
      <w:tr w:rsidR="00397027" w:rsidRPr="00A728FF" w:rsidTr="00F27E8A">
        <w:trPr>
          <w:cantSplit/>
          <w:trHeight w:val="1152"/>
          <w:jc w:val="center"/>
        </w:trPr>
        <w:tc>
          <w:tcPr>
            <w:tcW w:w="588" w:type="dxa"/>
            <w:tcBorders>
              <w:top w:val="single" w:sz="4" w:space="0" w:color="auto"/>
            </w:tcBorders>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11</w:t>
            </w:r>
          </w:p>
        </w:tc>
        <w:tc>
          <w:tcPr>
            <w:tcW w:w="1080" w:type="dxa"/>
            <w:gridSpan w:val="2"/>
            <w:vMerge/>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p>
        </w:tc>
        <w:tc>
          <w:tcPr>
            <w:tcW w:w="1436" w:type="dxa"/>
            <w:vMerge/>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p>
        </w:tc>
        <w:tc>
          <w:tcPr>
            <w:tcW w:w="1740" w:type="dxa"/>
            <w:vMerge/>
            <w:vAlign w:val="center"/>
          </w:tcPr>
          <w:p w:rsidR="00397027" w:rsidRPr="00A728FF" w:rsidRDefault="00397027" w:rsidP="002B02DF">
            <w:pPr>
              <w:widowControl/>
              <w:adjustRightInd w:val="0"/>
              <w:snapToGrid w:val="0"/>
              <w:jc w:val="center"/>
              <w:rPr>
                <w:rFonts w:ascii="Times New Roman" w:eastAsiaTheme="minorEastAsia" w:hAnsi="Times New Roman" w:cs="Times New Roman"/>
                <w:kern w:val="0"/>
                <w:sz w:val="22"/>
                <w:szCs w:val="21"/>
              </w:rPr>
            </w:pPr>
          </w:p>
        </w:tc>
        <w:tc>
          <w:tcPr>
            <w:tcW w:w="4063"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对照</w:t>
            </w:r>
            <w:proofErr w:type="gramStart"/>
            <w:r w:rsidRPr="00A728FF">
              <w:rPr>
                <w:rFonts w:ascii="Times New Roman" w:eastAsiaTheme="minorEastAsia" w:hAnsi="Times New Roman" w:cs="Times New Roman"/>
                <w:kern w:val="0"/>
                <w:sz w:val="22"/>
                <w:szCs w:val="21"/>
              </w:rPr>
              <w:t>隐患台</w:t>
            </w:r>
            <w:proofErr w:type="gramEnd"/>
            <w:r w:rsidRPr="00A728FF">
              <w:rPr>
                <w:rFonts w:ascii="Times New Roman" w:eastAsiaTheme="minorEastAsia" w:hAnsi="Times New Roman" w:cs="Times New Roman"/>
                <w:kern w:val="0"/>
                <w:sz w:val="22"/>
                <w:szCs w:val="21"/>
              </w:rPr>
              <w:t>账，完成辖区内城市隧道交通安全、消防安全等设施隐患的治理任务。</w:t>
            </w:r>
          </w:p>
        </w:tc>
        <w:tc>
          <w:tcPr>
            <w:tcW w:w="2924"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截至</w:t>
            </w:r>
            <w:r w:rsidRPr="00A728FF">
              <w:rPr>
                <w:rFonts w:ascii="Times New Roman" w:eastAsiaTheme="minorEastAsia" w:hAnsi="Times New Roman" w:cs="Times New Roman"/>
                <w:kern w:val="0"/>
                <w:sz w:val="22"/>
                <w:szCs w:val="21"/>
              </w:rPr>
              <w:t>2021</w:t>
            </w:r>
            <w:r w:rsidRPr="00A728FF">
              <w:rPr>
                <w:rFonts w:ascii="Times New Roman" w:eastAsiaTheme="minorEastAsia" w:hAnsi="Times New Roman" w:cs="Times New Roman"/>
                <w:kern w:val="0"/>
                <w:sz w:val="22"/>
                <w:szCs w:val="21"/>
              </w:rPr>
              <w:t>年</w:t>
            </w:r>
            <w:r w:rsidRPr="00A728FF">
              <w:rPr>
                <w:rFonts w:ascii="Times New Roman" w:eastAsiaTheme="minorEastAsia" w:hAnsi="Times New Roman" w:cs="Times New Roman"/>
                <w:kern w:val="0"/>
                <w:sz w:val="22"/>
                <w:szCs w:val="21"/>
              </w:rPr>
              <w:t>11</w:t>
            </w:r>
            <w:r w:rsidRPr="00A728FF">
              <w:rPr>
                <w:rFonts w:ascii="Times New Roman" w:eastAsiaTheme="minorEastAsia" w:hAnsi="Times New Roman" w:cs="Times New Roman"/>
                <w:kern w:val="0"/>
                <w:sz w:val="22"/>
                <w:szCs w:val="21"/>
              </w:rPr>
              <w:t>月底，隐患整改率达</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w:t>
            </w:r>
          </w:p>
        </w:tc>
        <w:tc>
          <w:tcPr>
            <w:tcW w:w="1531"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2B02DF">
            <w:pPr>
              <w:widowControl/>
              <w:adjustRightInd w:val="0"/>
              <w:snapToGrid w:val="0"/>
              <w:jc w:val="left"/>
              <w:rPr>
                <w:rFonts w:ascii="Times New Roman" w:eastAsiaTheme="minorEastAsia" w:hAnsi="Times New Roman" w:cs="Times New Roman"/>
                <w:kern w:val="0"/>
                <w:sz w:val="22"/>
                <w:szCs w:val="21"/>
              </w:rPr>
            </w:pPr>
          </w:p>
        </w:tc>
      </w:tr>
      <w:tr w:rsidR="00397027" w:rsidRPr="00A728FF" w:rsidTr="00867E86">
        <w:trPr>
          <w:cantSplit/>
          <w:trHeight w:val="1265"/>
          <w:jc w:val="center"/>
        </w:trPr>
        <w:tc>
          <w:tcPr>
            <w:tcW w:w="588" w:type="dxa"/>
            <w:tcBorders>
              <w:top w:val="single" w:sz="4" w:space="0" w:color="auto"/>
            </w:tcBorders>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lastRenderedPageBreak/>
              <w:t>12</w:t>
            </w:r>
          </w:p>
        </w:tc>
        <w:tc>
          <w:tcPr>
            <w:tcW w:w="1080" w:type="dxa"/>
            <w:gridSpan w:val="2"/>
            <w:vMerge/>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p>
        </w:tc>
        <w:tc>
          <w:tcPr>
            <w:tcW w:w="1436" w:type="dxa"/>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智能化监管水平有待</w:t>
            </w:r>
          </w:p>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提升</w:t>
            </w:r>
          </w:p>
        </w:tc>
        <w:tc>
          <w:tcPr>
            <w:tcW w:w="1740"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tcBorders>
              <w:top w:val="single" w:sz="4" w:space="0" w:color="auto"/>
            </w:tcBorders>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highlight w:val="yellow"/>
              </w:rPr>
            </w:pPr>
            <w:r w:rsidRPr="00A728FF">
              <w:rPr>
                <w:rFonts w:ascii="Times New Roman" w:eastAsiaTheme="minorEastAsia" w:hAnsi="Times New Roman" w:cs="Times New Roman"/>
                <w:kern w:val="0"/>
                <w:sz w:val="22"/>
                <w:szCs w:val="21"/>
              </w:rPr>
              <w:t>城市特长隧道（长度</w:t>
            </w:r>
            <w:r w:rsidRPr="00A728FF">
              <w:rPr>
                <w:rFonts w:ascii="Times New Roman" w:eastAsiaTheme="minorEastAsia" w:hAnsi="Times New Roman" w:cs="Times New Roman"/>
                <w:kern w:val="0"/>
                <w:sz w:val="22"/>
                <w:szCs w:val="21"/>
              </w:rPr>
              <w:t>≥3km</w:t>
            </w:r>
            <w:r w:rsidRPr="00A728FF">
              <w:rPr>
                <w:rFonts w:ascii="Times New Roman" w:eastAsiaTheme="minorEastAsia" w:hAnsi="Times New Roman" w:cs="Times New Roman"/>
                <w:kern w:val="0"/>
                <w:sz w:val="22"/>
                <w:szCs w:val="21"/>
              </w:rPr>
              <w:t>）和长隧道（</w:t>
            </w:r>
            <w:r w:rsidRPr="00A728FF">
              <w:rPr>
                <w:rFonts w:ascii="Times New Roman" w:eastAsiaTheme="minorEastAsia" w:hAnsi="Times New Roman" w:cs="Times New Roman"/>
                <w:kern w:val="0"/>
                <w:sz w:val="22"/>
                <w:szCs w:val="21"/>
              </w:rPr>
              <w:t>3km</w:t>
            </w:r>
            <w:r w:rsidRPr="00A728FF">
              <w:rPr>
                <w:rFonts w:ascii="Times New Roman" w:eastAsiaTheme="minorEastAsia" w:hAnsi="Times New Roman" w:cs="Times New Roman"/>
                <w:kern w:val="0"/>
                <w:sz w:val="22"/>
                <w:szCs w:val="21"/>
              </w:rPr>
              <w:t>＞长度</w:t>
            </w:r>
            <w:r w:rsidRPr="00A728FF">
              <w:rPr>
                <w:rFonts w:ascii="Times New Roman" w:eastAsiaTheme="minorEastAsia" w:hAnsi="Times New Roman" w:cs="Times New Roman"/>
                <w:kern w:val="0"/>
                <w:sz w:val="22"/>
                <w:szCs w:val="21"/>
              </w:rPr>
              <w:t>≥1km</w:t>
            </w:r>
            <w:r w:rsidRPr="00A728FF">
              <w:rPr>
                <w:rFonts w:ascii="Times New Roman" w:eastAsiaTheme="minorEastAsia" w:hAnsi="Times New Roman" w:cs="Times New Roman"/>
                <w:kern w:val="0"/>
                <w:sz w:val="22"/>
                <w:szCs w:val="21"/>
              </w:rPr>
              <w:t>）按照规范要求开展智能化监控设施建设。</w:t>
            </w:r>
          </w:p>
        </w:tc>
        <w:tc>
          <w:tcPr>
            <w:tcW w:w="2924" w:type="dxa"/>
            <w:tcBorders>
              <w:top w:val="single" w:sz="4" w:space="0" w:color="auto"/>
            </w:tcBorders>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截至</w:t>
            </w:r>
            <w:r w:rsidRPr="00A728FF">
              <w:rPr>
                <w:rFonts w:ascii="Times New Roman" w:eastAsiaTheme="minorEastAsia" w:hAnsi="Times New Roman" w:cs="Times New Roman"/>
                <w:kern w:val="0"/>
                <w:sz w:val="22"/>
                <w:szCs w:val="21"/>
              </w:rPr>
              <w:t>2021</w:t>
            </w:r>
            <w:r w:rsidRPr="00A728FF">
              <w:rPr>
                <w:rFonts w:ascii="Times New Roman" w:eastAsiaTheme="minorEastAsia" w:hAnsi="Times New Roman" w:cs="Times New Roman"/>
                <w:kern w:val="0"/>
                <w:sz w:val="22"/>
                <w:szCs w:val="21"/>
              </w:rPr>
              <w:t>年</w:t>
            </w:r>
            <w:r w:rsidRPr="00A728FF">
              <w:rPr>
                <w:rFonts w:ascii="Times New Roman" w:eastAsiaTheme="minorEastAsia" w:hAnsi="Times New Roman" w:cs="Times New Roman"/>
                <w:kern w:val="0"/>
                <w:sz w:val="22"/>
                <w:szCs w:val="21"/>
              </w:rPr>
              <w:t>11</w:t>
            </w:r>
            <w:r w:rsidRPr="00A728FF">
              <w:rPr>
                <w:rFonts w:ascii="Times New Roman" w:eastAsiaTheme="minorEastAsia" w:hAnsi="Times New Roman" w:cs="Times New Roman"/>
                <w:kern w:val="0"/>
                <w:sz w:val="22"/>
                <w:szCs w:val="21"/>
              </w:rPr>
              <w:t>月底，建设完成比例达</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。长度</w:t>
            </w:r>
            <w:r w:rsidRPr="00A728FF">
              <w:rPr>
                <w:rFonts w:ascii="Times New Roman" w:eastAsiaTheme="minorEastAsia" w:hAnsi="Times New Roman" w:cs="Times New Roman"/>
                <w:kern w:val="0"/>
                <w:sz w:val="22"/>
                <w:szCs w:val="21"/>
              </w:rPr>
              <w:t>1km</w:t>
            </w:r>
            <w:r w:rsidRPr="00A728FF">
              <w:rPr>
                <w:rFonts w:ascii="Times New Roman" w:eastAsiaTheme="minorEastAsia" w:hAnsi="Times New Roman" w:cs="Times New Roman"/>
                <w:kern w:val="0"/>
                <w:sz w:val="22"/>
                <w:szCs w:val="21"/>
              </w:rPr>
              <w:t>以下隧道根据需要开展智能化监控设施建设。</w:t>
            </w:r>
          </w:p>
        </w:tc>
        <w:tc>
          <w:tcPr>
            <w:tcW w:w="1531" w:type="dxa"/>
            <w:tcBorders>
              <w:top w:val="single" w:sz="4" w:space="0" w:color="auto"/>
            </w:tcBorders>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c>
          <w:tcPr>
            <w:tcW w:w="1002" w:type="dxa"/>
            <w:tcBorders>
              <w:top w:val="single" w:sz="4" w:space="0" w:color="auto"/>
            </w:tcBorders>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r>
      <w:tr w:rsidR="00397027" w:rsidRPr="00A728FF" w:rsidTr="00F27E8A">
        <w:trPr>
          <w:cantSplit/>
          <w:trHeight w:val="1545"/>
          <w:jc w:val="center"/>
        </w:trPr>
        <w:tc>
          <w:tcPr>
            <w:tcW w:w="588"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13</w:t>
            </w:r>
          </w:p>
        </w:tc>
        <w:tc>
          <w:tcPr>
            <w:tcW w:w="1071" w:type="dxa"/>
            <w:vMerge w:val="restart"/>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建筑施工工地车辆违法违规现象普遍</w:t>
            </w:r>
          </w:p>
        </w:tc>
        <w:tc>
          <w:tcPr>
            <w:tcW w:w="1445" w:type="dxa"/>
            <w:gridSpan w:val="2"/>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违法违规现象普遍</w:t>
            </w:r>
          </w:p>
        </w:tc>
        <w:tc>
          <w:tcPr>
            <w:tcW w:w="1740"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w:t>
            </w:r>
          </w:p>
        </w:tc>
        <w:tc>
          <w:tcPr>
            <w:tcW w:w="4063" w:type="dxa"/>
            <w:vAlign w:val="center"/>
          </w:tcPr>
          <w:p w:rsidR="00397027" w:rsidRPr="00A728FF" w:rsidRDefault="00397027" w:rsidP="008904B1">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严管建筑施工单位，对租赁、使用无牌无证、报废车辆从事建筑材料运输、人货混装以及超限超载车辆驶出建筑施工工地的，一律追究建筑施工单位责任。</w:t>
            </w:r>
          </w:p>
        </w:tc>
        <w:tc>
          <w:tcPr>
            <w:tcW w:w="2924" w:type="dxa"/>
            <w:vMerge w:val="restart"/>
            <w:vAlign w:val="center"/>
          </w:tcPr>
          <w:p w:rsidR="00397027" w:rsidRPr="00A728FF" w:rsidRDefault="00397027" w:rsidP="00A00F97">
            <w:pPr>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对发现或有关部门抄告的违规建筑施工单位责任追究比率达到</w:t>
            </w:r>
            <w:r w:rsidRPr="00A728FF">
              <w:rPr>
                <w:rFonts w:ascii="Times New Roman" w:eastAsiaTheme="minorEastAsia" w:hAnsi="Times New Roman" w:cs="Times New Roman"/>
                <w:kern w:val="0"/>
                <w:sz w:val="22"/>
                <w:szCs w:val="21"/>
              </w:rPr>
              <w:t>100%</w:t>
            </w:r>
            <w:r w:rsidRPr="00A728FF">
              <w:rPr>
                <w:rFonts w:ascii="Times New Roman" w:eastAsiaTheme="minorEastAsia" w:hAnsi="Times New Roman" w:cs="Times New Roman"/>
                <w:kern w:val="0"/>
                <w:sz w:val="22"/>
                <w:szCs w:val="21"/>
              </w:rPr>
              <w:t>，约谈、通报违法集中、次数频繁的车辆所属企业。</w:t>
            </w:r>
          </w:p>
        </w:tc>
        <w:tc>
          <w:tcPr>
            <w:tcW w:w="1531"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c>
          <w:tcPr>
            <w:tcW w:w="1002"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r>
      <w:tr w:rsidR="00397027" w:rsidRPr="00A728FF" w:rsidTr="00F27E8A">
        <w:trPr>
          <w:cantSplit/>
          <w:trHeight w:val="1545"/>
          <w:jc w:val="center"/>
        </w:trPr>
        <w:tc>
          <w:tcPr>
            <w:tcW w:w="588"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14</w:t>
            </w:r>
          </w:p>
        </w:tc>
        <w:tc>
          <w:tcPr>
            <w:tcW w:w="1071" w:type="dxa"/>
            <w:vMerge/>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p>
        </w:tc>
        <w:tc>
          <w:tcPr>
            <w:tcW w:w="1445" w:type="dxa"/>
            <w:gridSpan w:val="2"/>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超限超载屡禁不止</w:t>
            </w:r>
          </w:p>
        </w:tc>
        <w:tc>
          <w:tcPr>
            <w:tcW w:w="1740"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w:t>
            </w:r>
          </w:p>
        </w:tc>
        <w:tc>
          <w:tcPr>
            <w:tcW w:w="4063"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严管建筑施工单位，严禁城市建筑垃圾运输车辆超限超载驶出建筑施工工地。</w:t>
            </w:r>
          </w:p>
        </w:tc>
        <w:tc>
          <w:tcPr>
            <w:tcW w:w="2924" w:type="dxa"/>
            <w:vMerge/>
            <w:vAlign w:val="center"/>
          </w:tcPr>
          <w:p w:rsidR="00397027" w:rsidRPr="00A728FF" w:rsidRDefault="00397027" w:rsidP="00A00F97">
            <w:pPr>
              <w:adjustRightInd w:val="0"/>
              <w:snapToGrid w:val="0"/>
              <w:jc w:val="left"/>
              <w:rPr>
                <w:rFonts w:ascii="Times New Roman" w:eastAsiaTheme="minorEastAsia" w:hAnsi="Times New Roman" w:cs="Times New Roman"/>
                <w:kern w:val="0"/>
                <w:sz w:val="22"/>
                <w:szCs w:val="21"/>
              </w:rPr>
            </w:pPr>
          </w:p>
        </w:tc>
        <w:tc>
          <w:tcPr>
            <w:tcW w:w="1531"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c>
          <w:tcPr>
            <w:tcW w:w="1002"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r>
      <w:tr w:rsidR="00397027" w:rsidRPr="00A728FF" w:rsidTr="00F27E8A">
        <w:trPr>
          <w:cantSplit/>
          <w:trHeight w:val="65"/>
          <w:jc w:val="center"/>
        </w:trPr>
        <w:tc>
          <w:tcPr>
            <w:tcW w:w="588"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15</w:t>
            </w:r>
          </w:p>
        </w:tc>
        <w:tc>
          <w:tcPr>
            <w:tcW w:w="1071" w:type="dxa"/>
            <w:vMerge/>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p>
        </w:tc>
        <w:tc>
          <w:tcPr>
            <w:tcW w:w="1445" w:type="dxa"/>
            <w:gridSpan w:val="2"/>
            <w:vAlign w:val="center"/>
          </w:tcPr>
          <w:p w:rsidR="00397027" w:rsidRPr="00A728FF" w:rsidRDefault="00397027" w:rsidP="00867E86">
            <w:pPr>
              <w:widowControl/>
              <w:adjustRightInd w:val="0"/>
              <w:snapToGrid w:val="0"/>
              <w:jc w:val="center"/>
              <w:rPr>
                <w:rFonts w:ascii="Times New Roman" w:eastAsiaTheme="minorEastAsia" w:hAnsi="Times New Roman" w:cs="Times New Roman"/>
                <w:b/>
                <w:bCs/>
                <w:kern w:val="0"/>
                <w:sz w:val="22"/>
                <w:szCs w:val="21"/>
              </w:rPr>
            </w:pPr>
            <w:r w:rsidRPr="00A728FF">
              <w:rPr>
                <w:rFonts w:ascii="Times New Roman" w:eastAsiaTheme="minorEastAsia" w:hAnsi="Times New Roman" w:cs="Times New Roman"/>
                <w:b/>
                <w:bCs/>
                <w:kern w:val="0"/>
                <w:sz w:val="22"/>
                <w:szCs w:val="21"/>
              </w:rPr>
              <w:t>闯红灯、超速、不按规定车道行驶等</w:t>
            </w:r>
            <w:r w:rsidRPr="00A728FF">
              <w:rPr>
                <w:rFonts w:ascii="Times New Roman" w:eastAsiaTheme="minorEastAsia" w:hAnsi="Times New Roman" w:cs="Times New Roman"/>
                <w:b/>
                <w:bCs/>
                <w:kern w:val="0"/>
                <w:sz w:val="22"/>
                <w:szCs w:val="21"/>
              </w:rPr>
              <w:t>“</w:t>
            </w:r>
            <w:r w:rsidRPr="00A728FF">
              <w:rPr>
                <w:rFonts w:ascii="Times New Roman" w:eastAsiaTheme="minorEastAsia" w:hAnsi="Times New Roman" w:cs="Times New Roman"/>
                <w:b/>
                <w:bCs/>
                <w:kern w:val="0"/>
                <w:sz w:val="22"/>
                <w:szCs w:val="21"/>
              </w:rPr>
              <w:t>野蛮驾驶</w:t>
            </w:r>
            <w:r w:rsidRPr="00A728FF">
              <w:rPr>
                <w:rFonts w:ascii="Times New Roman" w:eastAsiaTheme="minorEastAsia" w:hAnsi="Times New Roman" w:cs="Times New Roman"/>
                <w:b/>
                <w:bCs/>
                <w:kern w:val="0"/>
                <w:sz w:val="22"/>
                <w:szCs w:val="21"/>
              </w:rPr>
              <w:t>”</w:t>
            </w:r>
            <w:r w:rsidRPr="00A728FF">
              <w:rPr>
                <w:rFonts w:ascii="Times New Roman" w:eastAsiaTheme="minorEastAsia" w:hAnsi="Times New Roman" w:cs="Times New Roman"/>
                <w:b/>
                <w:bCs/>
                <w:kern w:val="0"/>
                <w:sz w:val="22"/>
                <w:szCs w:val="21"/>
              </w:rPr>
              <w:t>行为问题突出</w:t>
            </w:r>
          </w:p>
        </w:tc>
        <w:tc>
          <w:tcPr>
            <w:tcW w:w="1740" w:type="dxa"/>
            <w:vAlign w:val="center"/>
          </w:tcPr>
          <w:p w:rsidR="00397027" w:rsidRPr="00A728FF" w:rsidRDefault="00397027" w:rsidP="00A00F97">
            <w:pPr>
              <w:widowControl/>
              <w:adjustRightInd w:val="0"/>
              <w:snapToGrid w:val="0"/>
              <w:jc w:val="center"/>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住建局（城管局）</w:t>
            </w:r>
          </w:p>
        </w:tc>
        <w:tc>
          <w:tcPr>
            <w:tcW w:w="4063"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r w:rsidRPr="00A728FF">
              <w:rPr>
                <w:rFonts w:ascii="Times New Roman" w:eastAsiaTheme="minorEastAsia" w:hAnsi="Times New Roman" w:cs="Times New Roman"/>
                <w:kern w:val="0"/>
                <w:sz w:val="22"/>
                <w:szCs w:val="21"/>
              </w:rPr>
              <w:t>对公安交警、交通执法部门提供的工程运输车辆违法行为数据，要依法追究施工单位责任。</w:t>
            </w:r>
          </w:p>
        </w:tc>
        <w:tc>
          <w:tcPr>
            <w:tcW w:w="2924" w:type="dxa"/>
            <w:vMerge/>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c>
          <w:tcPr>
            <w:tcW w:w="1531"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c>
          <w:tcPr>
            <w:tcW w:w="1002" w:type="dxa"/>
            <w:vAlign w:val="center"/>
          </w:tcPr>
          <w:p w:rsidR="00397027" w:rsidRPr="00A728FF" w:rsidRDefault="00397027" w:rsidP="00A00F97">
            <w:pPr>
              <w:widowControl/>
              <w:adjustRightInd w:val="0"/>
              <w:snapToGrid w:val="0"/>
              <w:jc w:val="left"/>
              <w:rPr>
                <w:rFonts w:ascii="Times New Roman" w:eastAsiaTheme="minorEastAsia" w:hAnsi="Times New Roman" w:cs="Times New Roman"/>
                <w:kern w:val="0"/>
                <w:sz w:val="22"/>
                <w:szCs w:val="21"/>
              </w:rPr>
            </w:pPr>
          </w:p>
        </w:tc>
      </w:tr>
    </w:tbl>
    <w:p w:rsidR="005D6862" w:rsidRPr="00A728FF" w:rsidRDefault="005D6862" w:rsidP="006D5489">
      <w:pPr>
        <w:pStyle w:val="1"/>
        <w:widowControl w:val="0"/>
        <w:autoSpaceDE w:val="0"/>
        <w:autoSpaceDN w:val="0"/>
        <w:adjustRightInd w:val="0"/>
        <w:snapToGrid w:val="0"/>
        <w:spacing w:line="100" w:lineRule="exact"/>
        <w:rPr>
          <w:rFonts w:eastAsia="仿宋_GB2312"/>
          <w:sz w:val="32"/>
          <w:szCs w:val="32"/>
        </w:rPr>
      </w:pPr>
    </w:p>
    <w:sectPr w:rsidR="005D6862" w:rsidRPr="00A728FF" w:rsidSect="00F27E8A">
      <w:footerReference w:type="default" r:id="rId8"/>
      <w:footerReference w:type="first" r:id="rId9"/>
      <w:pgSz w:w="16838" w:h="11906" w:orient="landscape" w:code="9"/>
      <w:pgMar w:top="1134" w:right="851" w:bottom="1134" w:left="851" w:header="1701" w:footer="1701" w:gutter="0"/>
      <w:pgNumType w:start="9"/>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95" w:rsidRDefault="00834495" w:rsidP="009102FB">
      <w:r>
        <w:separator/>
      </w:r>
    </w:p>
  </w:endnote>
  <w:endnote w:type="continuationSeparator" w:id="0">
    <w:p w:rsidR="00834495" w:rsidRDefault="00834495" w:rsidP="0091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0949"/>
      <w:docPartObj>
        <w:docPartGallery w:val="Page Numbers (Bottom of Page)"/>
        <w:docPartUnique/>
      </w:docPartObj>
    </w:sdtPr>
    <w:sdtEndPr>
      <w:rPr>
        <w:rFonts w:asciiTheme="minorEastAsia" w:eastAsiaTheme="minorEastAsia" w:hAnsiTheme="minorEastAsia"/>
        <w:sz w:val="28"/>
        <w:szCs w:val="28"/>
      </w:rPr>
    </w:sdtEndPr>
    <w:sdtContent>
      <w:p w:rsidR="00F27E8A" w:rsidRPr="00F27E8A" w:rsidRDefault="00F27E8A" w:rsidP="00F27E8A">
        <w:pPr>
          <w:pStyle w:val="a4"/>
          <w:jc w:val="center"/>
          <w:rPr>
            <w:rFonts w:asciiTheme="minorEastAsia" w:eastAsiaTheme="minorEastAsia" w:hAnsiTheme="minorEastAsia"/>
            <w:sz w:val="28"/>
            <w:szCs w:val="28"/>
          </w:rPr>
        </w:pPr>
        <w:r w:rsidRPr="00F27E8A">
          <w:rPr>
            <w:rFonts w:asciiTheme="minorEastAsia" w:eastAsiaTheme="minorEastAsia" w:hAnsiTheme="minorEastAsia"/>
            <w:sz w:val="28"/>
            <w:szCs w:val="28"/>
          </w:rPr>
          <w:fldChar w:fldCharType="begin"/>
        </w:r>
        <w:r w:rsidRPr="00F27E8A">
          <w:rPr>
            <w:rFonts w:asciiTheme="minorEastAsia" w:eastAsiaTheme="minorEastAsia" w:hAnsiTheme="minorEastAsia"/>
            <w:sz w:val="28"/>
            <w:szCs w:val="28"/>
          </w:rPr>
          <w:instrText xml:space="preserve"> PAGE   \* MERGEFORMAT </w:instrText>
        </w:r>
        <w:r w:rsidRPr="00F27E8A">
          <w:rPr>
            <w:rFonts w:asciiTheme="minorEastAsia" w:eastAsiaTheme="minorEastAsia" w:hAnsiTheme="minorEastAsia"/>
            <w:sz w:val="28"/>
            <w:szCs w:val="28"/>
          </w:rPr>
          <w:fldChar w:fldCharType="separate"/>
        </w:r>
        <w:r w:rsidR="00A728FF" w:rsidRPr="00A728FF">
          <w:rPr>
            <w:rFonts w:asciiTheme="minorEastAsia" w:eastAsiaTheme="minorEastAsia" w:hAnsiTheme="minorEastAsia"/>
            <w:noProof/>
            <w:sz w:val="28"/>
            <w:szCs w:val="28"/>
            <w:lang w:val="zh-CN"/>
          </w:rPr>
          <w:t>10</w:t>
        </w:r>
        <w:r w:rsidRPr="00F27E8A">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0941"/>
      <w:docPartObj>
        <w:docPartGallery w:val="Page Numbers (Bottom of Page)"/>
        <w:docPartUnique/>
      </w:docPartObj>
    </w:sdtPr>
    <w:sdtEndPr>
      <w:rPr>
        <w:rFonts w:asciiTheme="minorEastAsia" w:eastAsiaTheme="minorEastAsia" w:hAnsiTheme="minorEastAsia"/>
        <w:sz w:val="28"/>
        <w:szCs w:val="28"/>
      </w:rPr>
    </w:sdtEndPr>
    <w:sdtContent>
      <w:p w:rsidR="00374CA1" w:rsidRPr="00F27E8A" w:rsidRDefault="00F27E8A" w:rsidP="00F27E8A">
        <w:pPr>
          <w:pStyle w:val="a4"/>
          <w:jc w:val="center"/>
          <w:rPr>
            <w:rFonts w:asciiTheme="minorEastAsia" w:eastAsiaTheme="minorEastAsia" w:hAnsiTheme="minorEastAsia"/>
            <w:sz w:val="28"/>
            <w:szCs w:val="28"/>
          </w:rPr>
        </w:pPr>
        <w:r w:rsidRPr="00F27E8A">
          <w:rPr>
            <w:rFonts w:asciiTheme="minorEastAsia" w:eastAsiaTheme="minorEastAsia" w:hAnsiTheme="minorEastAsia"/>
            <w:sz w:val="28"/>
            <w:szCs w:val="28"/>
          </w:rPr>
          <w:fldChar w:fldCharType="begin"/>
        </w:r>
        <w:r w:rsidRPr="00F27E8A">
          <w:rPr>
            <w:rFonts w:asciiTheme="minorEastAsia" w:eastAsiaTheme="minorEastAsia" w:hAnsiTheme="minorEastAsia"/>
            <w:sz w:val="28"/>
            <w:szCs w:val="28"/>
          </w:rPr>
          <w:instrText xml:space="preserve"> PAGE   \* MERGEFORMAT </w:instrText>
        </w:r>
        <w:r w:rsidRPr="00F27E8A">
          <w:rPr>
            <w:rFonts w:asciiTheme="minorEastAsia" w:eastAsiaTheme="minorEastAsia" w:hAnsiTheme="minorEastAsia"/>
            <w:sz w:val="28"/>
            <w:szCs w:val="28"/>
          </w:rPr>
          <w:fldChar w:fldCharType="separate"/>
        </w:r>
        <w:r w:rsidRPr="00F27E8A">
          <w:rPr>
            <w:rFonts w:asciiTheme="minorEastAsia" w:eastAsiaTheme="minorEastAsia" w:hAnsiTheme="minorEastAsia"/>
            <w:noProof/>
            <w:sz w:val="28"/>
            <w:szCs w:val="28"/>
            <w:lang w:val="zh-CN"/>
          </w:rPr>
          <w:t>9</w:t>
        </w:r>
        <w:r w:rsidRPr="00F27E8A">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95" w:rsidRDefault="00834495" w:rsidP="009102FB">
      <w:r>
        <w:separator/>
      </w:r>
    </w:p>
  </w:footnote>
  <w:footnote w:type="continuationSeparator" w:id="0">
    <w:p w:rsidR="00834495" w:rsidRDefault="00834495" w:rsidP="0091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oNotTrackMoves/>
  <w:defaultTabStop w:val="420"/>
  <w:doNotHyphenateCaps/>
  <w:drawingGridHorizontalSpacing w:val="156"/>
  <w:drawingGridVerticalSpacing w:val="287"/>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9446A"/>
    <w:rsid w:val="00001721"/>
    <w:rsid w:val="0000281B"/>
    <w:rsid w:val="00005851"/>
    <w:rsid w:val="00006116"/>
    <w:rsid w:val="0000649F"/>
    <w:rsid w:val="00007945"/>
    <w:rsid w:val="0001011D"/>
    <w:rsid w:val="00010D05"/>
    <w:rsid w:val="00011D61"/>
    <w:rsid w:val="00012B97"/>
    <w:rsid w:val="00013AF2"/>
    <w:rsid w:val="0001654C"/>
    <w:rsid w:val="00017362"/>
    <w:rsid w:val="00017F13"/>
    <w:rsid w:val="0002139E"/>
    <w:rsid w:val="000235E5"/>
    <w:rsid w:val="000235FB"/>
    <w:rsid w:val="00026523"/>
    <w:rsid w:val="00030F5F"/>
    <w:rsid w:val="000329E6"/>
    <w:rsid w:val="000361F4"/>
    <w:rsid w:val="000368FB"/>
    <w:rsid w:val="00037713"/>
    <w:rsid w:val="0004325C"/>
    <w:rsid w:val="000445C1"/>
    <w:rsid w:val="00044E72"/>
    <w:rsid w:val="00045DAE"/>
    <w:rsid w:val="0004691E"/>
    <w:rsid w:val="000522B3"/>
    <w:rsid w:val="0005531F"/>
    <w:rsid w:val="00055FAB"/>
    <w:rsid w:val="00057F1D"/>
    <w:rsid w:val="0006097C"/>
    <w:rsid w:val="00064588"/>
    <w:rsid w:val="0006577A"/>
    <w:rsid w:val="00073CD7"/>
    <w:rsid w:val="00075593"/>
    <w:rsid w:val="00075BBE"/>
    <w:rsid w:val="00081114"/>
    <w:rsid w:val="000828EA"/>
    <w:rsid w:val="00087EA1"/>
    <w:rsid w:val="00091FE5"/>
    <w:rsid w:val="00093EC3"/>
    <w:rsid w:val="0009438A"/>
    <w:rsid w:val="000A2DBE"/>
    <w:rsid w:val="000A6446"/>
    <w:rsid w:val="000A7AFB"/>
    <w:rsid w:val="000B3C8C"/>
    <w:rsid w:val="000B435C"/>
    <w:rsid w:val="000B43DF"/>
    <w:rsid w:val="000B62FC"/>
    <w:rsid w:val="000C30CD"/>
    <w:rsid w:val="000C314E"/>
    <w:rsid w:val="000C5D50"/>
    <w:rsid w:val="000C792A"/>
    <w:rsid w:val="000C7BA4"/>
    <w:rsid w:val="000D0D6B"/>
    <w:rsid w:val="000D6601"/>
    <w:rsid w:val="000D69A2"/>
    <w:rsid w:val="000E0041"/>
    <w:rsid w:val="000E09A8"/>
    <w:rsid w:val="000E2C28"/>
    <w:rsid w:val="000E59F2"/>
    <w:rsid w:val="000E5A30"/>
    <w:rsid w:val="000E5DC4"/>
    <w:rsid w:val="000E6351"/>
    <w:rsid w:val="000F05BD"/>
    <w:rsid w:val="000F2A12"/>
    <w:rsid w:val="000F4166"/>
    <w:rsid w:val="000F4A36"/>
    <w:rsid w:val="001000C0"/>
    <w:rsid w:val="00100851"/>
    <w:rsid w:val="00101E65"/>
    <w:rsid w:val="001026E3"/>
    <w:rsid w:val="001041CE"/>
    <w:rsid w:val="00112A9B"/>
    <w:rsid w:val="00112E75"/>
    <w:rsid w:val="0011353E"/>
    <w:rsid w:val="0012102E"/>
    <w:rsid w:val="00124224"/>
    <w:rsid w:val="00127381"/>
    <w:rsid w:val="001315FB"/>
    <w:rsid w:val="00141A05"/>
    <w:rsid w:val="00147CF7"/>
    <w:rsid w:val="00155F18"/>
    <w:rsid w:val="00157552"/>
    <w:rsid w:val="00157778"/>
    <w:rsid w:val="00162CE4"/>
    <w:rsid w:val="00163C8A"/>
    <w:rsid w:val="00163DA6"/>
    <w:rsid w:val="001650FF"/>
    <w:rsid w:val="00166E52"/>
    <w:rsid w:val="00166FE7"/>
    <w:rsid w:val="00171F77"/>
    <w:rsid w:val="00172DB4"/>
    <w:rsid w:val="00173C56"/>
    <w:rsid w:val="00175D51"/>
    <w:rsid w:val="001810B3"/>
    <w:rsid w:val="001816A9"/>
    <w:rsid w:val="00181A37"/>
    <w:rsid w:val="0018708A"/>
    <w:rsid w:val="001871CD"/>
    <w:rsid w:val="00191FAB"/>
    <w:rsid w:val="00193003"/>
    <w:rsid w:val="001A033D"/>
    <w:rsid w:val="001A22D8"/>
    <w:rsid w:val="001A30B0"/>
    <w:rsid w:val="001B2EAA"/>
    <w:rsid w:val="001B3DB8"/>
    <w:rsid w:val="001B5EB6"/>
    <w:rsid w:val="001B748B"/>
    <w:rsid w:val="001B7D7A"/>
    <w:rsid w:val="001C01CF"/>
    <w:rsid w:val="001C0493"/>
    <w:rsid w:val="001C0ED9"/>
    <w:rsid w:val="001C17F2"/>
    <w:rsid w:val="001C3202"/>
    <w:rsid w:val="001C5CEA"/>
    <w:rsid w:val="001C5E7A"/>
    <w:rsid w:val="001D045D"/>
    <w:rsid w:val="001D0C3C"/>
    <w:rsid w:val="001D6DC6"/>
    <w:rsid w:val="001E08AC"/>
    <w:rsid w:val="001E1B88"/>
    <w:rsid w:val="001E27C6"/>
    <w:rsid w:val="001E3CDD"/>
    <w:rsid w:val="001E5955"/>
    <w:rsid w:val="001E7B80"/>
    <w:rsid w:val="001F250D"/>
    <w:rsid w:val="001F34A9"/>
    <w:rsid w:val="001F378A"/>
    <w:rsid w:val="001F3CEC"/>
    <w:rsid w:val="001F4A5F"/>
    <w:rsid w:val="001F4CF4"/>
    <w:rsid w:val="001F61B1"/>
    <w:rsid w:val="001F7D86"/>
    <w:rsid w:val="00204EB6"/>
    <w:rsid w:val="00205A5C"/>
    <w:rsid w:val="00205F13"/>
    <w:rsid w:val="00210F7D"/>
    <w:rsid w:val="002123D3"/>
    <w:rsid w:val="00216068"/>
    <w:rsid w:val="00217D15"/>
    <w:rsid w:val="00220BE6"/>
    <w:rsid w:val="00220FD1"/>
    <w:rsid w:val="002211AF"/>
    <w:rsid w:val="0022278A"/>
    <w:rsid w:val="00222E58"/>
    <w:rsid w:val="00224AEA"/>
    <w:rsid w:val="0022622D"/>
    <w:rsid w:val="002357DF"/>
    <w:rsid w:val="00235925"/>
    <w:rsid w:val="0023738C"/>
    <w:rsid w:val="00241595"/>
    <w:rsid w:val="00241AA2"/>
    <w:rsid w:val="00241D2D"/>
    <w:rsid w:val="002439F3"/>
    <w:rsid w:val="00243DD3"/>
    <w:rsid w:val="00250420"/>
    <w:rsid w:val="00250DE7"/>
    <w:rsid w:val="00262AA7"/>
    <w:rsid w:val="00262E3C"/>
    <w:rsid w:val="0026404B"/>
    <w:rsid w:val="00265418"/>
    <w:rsid w:val="00271ACA"/>
    <w:rsid w:val="00277143"/>
    <w:rsid w:val="00280140"/>
    <w:rsid w:val="00281E4A"/>
    <w:rsid w:val="00285D0B"/>
    <w:rsid w:val="002869DC"/>
    <w:rsid w:val="00296ADD"/>
    <w:rsid w:val="002A24A9"/>
    <w:rsid w:val="002A4F59"/>
    <w:rsid w:val="002A6807"/>
    <w:rsid w:val="002A725B"/>
    <w:rsid w:val="002A778A"/>
    <w:rsid w:val="002B02DF"/>
    <w:rsid w:val="002B06FF"/>
    <w:rsid w:val="002B11CE"/>
    <w:rsid w:val="002B4202"/>
    <w:rsid w:val="002B5988"/>
    <w:rsid w:val="002B6689"/>
    <w:rsid w:val="002C038B"/>
    <w:rsid w:val="002C2924"/>
    <w:rsid w:val="002C2E10"/>
    <w:rsid w:val="002C3ACD"/>
    <w:rsid w:val="002D0B9C"/>
    <w:rsid w:val="002D1CE6"/>
    <w:rsid w:val="002D225C"/>
    <w:rsid w:val="002D23DB"/>
    <w:rsid w:val="002D43AE"/>
    <w:rsid w:val="002E08D1"/>
    <w:rsid w:val="002E2518"/>
    <w:rsid w:val="002E2E3C"/>
    <w:rsid w:val="002E39EF"/>
    <w:rsid w:val="002E611F"/>
    <w:rsid w:val="002F158B"/>
    <w:rsid w:val="002F3935"/>
    <w:rsid w:val="002F6833"/>
    <w:rsid w:val="002F7635"/>
    <w:rsid w:val="00305C7B"/>
    <w:rsid w:val="00305ED5"/>
    <w:rsid w:val="003060D9"/>
    <w:rsid w:val="0031124F"/>
    <w:rsid w:val="003112C9"/>
    <w:rsid w:val="00311D1A"/>
    <w:rsid w:val="003126E8"/>
    <w:rsid w:val="00315885"/>
    <w:rsid w:val="00315A5B"/>
    <w:rsid w:val="00320E81"/>
    <w:rsid w:val="00323CB8"/>
    <w:rsid w:val="0032566B"/>
    <w:rsid w:val="00325706"/>
    <w:rsid w:val="00327DFB"/>
    <w:rsid w:val="00331934"/>
    <w:rsid w:val="00331FF9"/>
    <w:rsid w:val="00332F26"/>
    <w:rsid w:val="00332F98"/>
    <w:rsid w:val="00336682"/>
    <w:rsid w:val="00343809"/>
    <w:rsid w:val="00343912"/>
    <w:rsid w:val="00344196"/>
    <w:rsid w:val="0034509D"/>
    <w:rsid w:val="003472A3"/>
    <w:rsid w:val="0035231B"/>
    <w:rsid w:val="0035372C"/>
    <w:rsid w:val="00354C3B"/>
    <w:rsid w:val="00357CF1"/>
    <w:rsid w:val="00361AE8"/>
    <w:rsid w:val="00362EC1"/>
    <w:rsid w:val="00363199"/>
    <w:rsid w:val="0036421E"/>
    <w:rsid w:val="0036435D"/>
    <w:rsid w:val="00364A34"/>
    <w:rsid w:val="00364D27"/>
    <w:rsid w:val="00367E1B"/>
    <w:rsid w:val="00372580"/>
    <w:rsid w:val="003737DD"/>
    <w:rsid w:val="00374CA1"/>
    <w:rsid w:val="00376899"/>
    <w:rsid w:val="00376963"/>
    <w:rsid w:val="00376FB8"/>
    <w:rsid w:val="00380FAE"/>
    <w:rsid w:val="00382A7F"/>
    <w:rsid w:val="00382B72"/>
    <w:rsid w:val="00382F97"/>
    <w:rsid w:val="003846D2"/>
    <w:rsid w:val="00386090"/>
    <w:rsid w:val="0039446A"/>
    <w:rsid w:val="00394C94"/>
    <w:rsid w:val="00397027"/>
    <w:rsid w:val="003A06C1"/>
    <w:rsid w:val="003A13C6"/>
    <w:rsid w:val="003A3568"/>
    <w:rsid w:val="003A6A5C"/>
    <w:rsid w:val="003A7756"/>
    <w:rsid w:val="003B2836"/>
    <w:rsid w:val="003B6C2B"/>
    <w:rsid w:val="003C4D3A"/>
    <w:rsid w:val="003C5F85"/>
    <w:rsid w:val="003C6702"/>
    <w:rsid w:val="003D2901"/>
    <w:rsid w:val="003D3568"/>
    <w:rsid w:val="003D530C"/>
    <w:rsid w:val="003D65B5"/>
    <w:rsid w:val="003D713E"/>
    <w:rsid w:val="003E1378"/>
    <w:rsid w:val="003E13A7"/>
    <w:rsid w:val="003E2A39"/>
    <w:rsid w:val="003E69CD"/>
    <w:rsid w:val="003E6CEB"/>
    <w:rsid w:val="003F11CA"/>
    <w:rsid w:val="003F5030"/>
    <w:rsid w:val="003F6E61"/>
    <w:rsid w:val="003F75EB"/>
    <w:rsid w:val="00406FD2"/>
    <w:rsid w:val="00411AB3"/>
    <w:rsid w:val="00413487"/>
    <w:rsid w:val="00415AA6"/>
    <w:rsid w:val="00415C90"/>
    <w:rsid w:val="0041780D"/>
    <w:rsid w:val="00422622"/>
    <w:rsid w:val="0042689F"/>
    <w:rsid w:val="00426FFE"/>
    <w:rsid w:val="00433402"/>
    <w:rsid w:val="00440510"/>
    <w:rsid w:val="00440D0E"/>
    <w:rsid w:val="00441117"/>
    <w:rsid w:val="00441BFB"/>
    <w:rsid w:val="0044498E"/>
    <w:rsid w:val="00447B23"/>
    <w:rsid w:val="00450E85"/>
    <w:rsid w:val="00451609"/>
    <w:rsid w:val="00456DFF"/>
    <w:rsid w:val="0045700A"/>
    <w:rsid w:val="004573F0"/>
    <w:rsid w:val="00461D75"/>
    <w:rsid w:val="00461F0B"/>
    <w:rsid w:val="00465AB1"/>
    <w:rsid w:val="004752A0"/>
    <w:rsid w:val="00475A42"/>
    <w:rsid w:val="00481B92"/>
    <w:rsid w:val="00483081"/>
    <w:rsid w:val="00484EBF"/>
    <w:rsid w:val="00487EBA"/>
    <w:rsid w:val="00490FC7"/>
    <w:rsid w:val="00491CF2"/>
    <w:rsid w:val="004936F5"/>
    <w:rsid w:val="004A01B9"/>
    <w:rsid w:val="004A3986"/>
    <w:rsid w:val="004A55A2"/>
    <w:rsid w:val="004A79C0"/>
    <w:rsid w:val="004B09BF"/>
    <w:rsid w:val="004B4882"/>
    <w:rsid w:val="004B591F"/>
    <w:rsid w:val="004B7EC6"/>
    <w:rsid w:val="004C00EB"/>
    <w:rsid w:val="004C0CEE"/>
    <w:rsid w:val="004C1601"/>
    <w:rsid w:val="004C165F"/>
    <w:rsid w:val="004C2160"/>
    <w:rsid w:val="004C2336"/>
    <w:rsid w:val="004C3142"/>
    <w:rsid w:val="004C58EC"/>
    <w:rsid w:val="004C6BFD"/>
    <w:rsid w:val="004C7236"/>
    <w:rsid w:val="004C77E0"/>
    <w:rsid w:val="004D0673"/>
    <w:rsid w:val="004D3E02"/>
    <w:rsid w:val="004D41C5"/>
    <w:rsid w:val="004D4349"/>
    <w:rsid w:val="004D756D"/>
    <w:rsid w:val="004D7EE2"/>
    <w:rsid w:val="004E0C9E"/>
    <w:rsid w:val="004E342A"/>
    <w:rsid w:val="004E75B8"/>
    <w:rsid w:val="004F37E5"/>
    <w:rsid w:val="004F53A7"/>
    <w:rsid w:val="0050682A"/>
    <w:rsid w:val="00510133"/>
    <w:rsid w:val="00510F4B"/>
    <w:rsid w:val="00511390"/>
    <w:rsid w:val="00514CB2"/>
    <w:rsid w:val="00514F1C"/>
    <w:rsid w:val="005172D9"/>
    <w:rsid w:val="00517B85"/>
    <w:rsid w:val="00521BBC"/>
    <w:rsid w:val="005237C3"/>
    <w:rsid w:val="0052397F"/>
    <w:rsid w:val="0052749B"/>
    <w:rsid w:val="005305A4"/>
    <w:rsid w:val="00530BBB"/>
    <w:rsid w:val="005318ED"/>
    <w:rsid w:val="00531BD5"/>
    <w:rsid w:val="00531FFF"/>
    <w:rsid w:val="00536DB8"/>
    <w:rsid w:val="0054200A"/>
    <w:rsid w:val="005430CA"/>
    <w:rsid w:val="005440FC"/>
    <w:rsid w:val="0054423E"/>
    <w:rsid w:val="005472E3"/>
    <w:rsid w:val="0055007F"/>
    <w:rsid w:val="00552962"/>
    <w:rsid w:val="005551A8"/>
    <w:rsid w:val="00557EDF"/>
    <w:rsid w:val="00561C8B"/>
    <w:rsid w:val="00566E16"/>
    <w:rsid w:val="00567523"/>
    <w:rsid w:val="00567920"/>
    <w:rsid w:val="00573B92"/>
    <w:rsid w:val="005749FB"/>
    <w:rsid w:val="0057667C"/>
    <w:rsid w:val="005809FF"/>
    <w:rsid w:val="00580BF6"/>
    <w:rsid w:val="005832E0"/>
    <w:rsid w:val="0058670D"/>
    <w:rsid w:val="00587372"/>
    <w:rsid w:val="00587640"/>
    <w:rsid w:val="00587CD5"/>
    <w:rsid w:val="005901EF"/>
    <w:rsid w:val="00591615"/>
    <w:rsid w:val="00594D0A"/>
    <w:rsid w:val="00596CB8"/>
    <w:rsid w:val="005970C8"/>
    <w:rsid w:val="00597CDB"/>
    <w:rsid w:val="005A0299"/>
    <w:rsid w:val="005A36F4"/>
    <w:rsid w:val="005A3705"/>
    <w:rsid w:val="005A3D10"/>
    <w:rsid w:val="005A4671"/>
    <w:rsid w:val="005B097B"/>
    <w:rsid w:val="005B0AC4"/>
    <w:rsid w:val="005B6A9E"/>
    <w:rsid w:val="005B78F8"/>
    <w:rsid w:val="005C3ECA"/>
    <w:rsid w:val="005C4548"/>
    <w:rsid w:val="005C73F5"/>
    <w:rsid w:val="005D1945"/>
    <w:rsid w:val="005D22A0"/>
    <w:rsid w:val="005D34EF"/>
    <w:rsid w:val="005D3737"/>
    <w:rsid w:val="005D6862"/>
    <w:rsid w:val="005D73C4"/>
    <w:rsid w:val="005E0220"/>
    <w:rsid w:val="005E11D7"/>
    <w:rsid w:val="005E3260"/>
    <w:rsid w:val="005E3453"/>
    <w:rsid w:val="005E505F"/>
    <w:rsid w:val="005F275B"/>
    <w:rsid w:val="005F7C9A"/>
    <w:rsid w:val="00601875"/>
    <w:rsid w:val="00602561"/>
    <w:rsid w:val="00602690"/>
    <w:rsid w:val="00602736"/>
    <w:rsid w:val="00603384"/>
    <w:rsid w:val="0060622D"/>
    <w:rsid w:val="006064C1"/>
    <w:rsid w:val="00610EC4"/>
    <w:rsid w:val="0061441C"/>
    <w:rsid w:val="00617FFB"/>
    <w:rsid w:val="006201C1"/>
    <w:rsid w:val="00621029"/>
    <w:rsid w:val="00625144"/>
    <w:rsid w:val="006268DA"/>
    <w:rsid w:val="0063332F"/>
    <w:rsid w:val="00640169"/>
    <w:rsid w:val="00642BAF"/>
    <w:rsid w:val="00644523"/>
    <w:rsid w:val="00644798"/>
    <w:rsid w:val="00646748"/>
    <w:rsid w:val="00646F17"/>
    <w:rsid w:val="00647D9F"/>
    <w:rsid w:val="00654988"/>
    <w:rsid w:val="006640FB"/>
    <w:rsid w:val="00666402"/>
    <w:rsid w:val="00672950"/>
    <w:rsid w:val="006755EC"/>
    <w:rsid w:val="00677684"/>
    <w:rsid w:val="006822F8"/>
    <w:rsid w:val="00693BAA"/>
    <w:rsid w:val="006A619A"/>
    <w:rsid w:val="006A6D42"/>
    <w:rsid w:val="006A79A2"/>
    <w:rsid w:val="006B16D2"/>
    <w:rsid w:val="006B1873"/>
    <w:rsid w:val="006B4AEE"/>
    <w:rsid w:val="006B4D12"/>
    <w:rsid w:val="006B7547"/>
    <w:rsid w:val="006C214B"/>
    <w:rsid w:val="006C41CC"/>
    <w:rsid w:val="006C5D1A"/>
    <w:rsid w:val="006D0D72"/>
    <w:rsid w:val="006D5489"/>
    <w:rsid w:val="006D5B76"/>
    <w:rsid w:val="006E14FB"/>
    <w:rsid w:val="006E597F"/>
    <w:rsid w:val="006E6CA1"/>
    <w:rsid w:val="006E7D11"/>
    <w:rsid w:val="006F5B78"/>
    <w:rsid w:val="00704414"/>
    <w:rsid w:val="007045FF"/>
    <w:rsid w:val="0071108F"/>
    <w:rsid w:val="00720A48"/>
    <w:rsid w:val="00722282"/>
    <w:rsid w:val="0072363D"/>
    <w:rsid w:val="00724BF1"/>
    <w:rsid w:val="00724D20"/>
    <w:rsid w:val="00730052"/>
    <w:rsid w:val="00731AF8"/>
    <w:rsid w:val="00734CB1"/>
    <w:rsid w:val="00735878"/>
    <w:rsid w:val="007360D2"/>
    <w:rsid w:val="007413F4"/>
    <w:rsid w:val="00741F1E"/>
    <w:rsid w:val="00742AD1"/>
    <w:rsid w:val="00744055"/>
    <w:rsid w:val="007508DB"/>
    <w:rsid w:val="00751E7B"/>
    <w:rsid w:val="00756AA5"/>
    <w:rsid w:val="007605FC"/>
    <w:rsid w:val="007609ED"/>
    <w:rsid w:val="00760FC2"/>
    <w:rsid w:val="007704B0"/>
    <w:rsid w:val="00770B5B"/>
    <w:rsid w:val="00772A4A"/>
    <w:rsid w:val="007745DE"/>
    <w:rsid w:val="00774F3D"/>
    <w:rsid w:val="00781C95"/>
    <w:rsid w:val="00784C79"/>
    <w:rsid w:val="00786245"/>
    <w:rsid w:val="00787F69"/>
    <w:rsid w:val="0079447E"/>
    <w:rsid w:val="00795A47"/>
    <w:rsid w:val="00797EC5"/>
    <w:rsid w:val="007A41DF"/>
    <w:rsid w:val="007A4D8D"/>
    <w:rsid w:val="007A6A55"/>
    <w:rsid w:val="007B26A8"/>
    <w:rsid w:val="007B4F45"/>
    <w:rsid w:val="007B5C0C"/>
    <w:rsid w:val="007B7A75"/>
    <w:rsid w:val="007C32C6"/>
    <w:rsid w:val="007C3ADA"/>
    <w:rsid w:val="007C4605"/>
    <w:rsid w:val="007C480A"/>
    <w:rsid w:val="007C5E3F"/>
    <w:rsid w:val="007C726C"/>
    <w:rsid w:val="007D1C7C"/>
    <w:rsid w:val="007D3648"/>
    <w:rsid w:val="007E3978"/>
    <w:rsid w:val="007E497B"/>
    <w:rsid w:val="007E7589"/>
    <w:rsid w:val="007E7EE9"/>
    <w:rsid w:val="00803794"/>
    <w:rsid w:val="008038C8"/>
    <w:rsid w:val="00803E57"/>
    <w:rsid w:val="00810F4A"/>
    <w:rsid w:val="00811342"/>
    <w:rsid w:val="008114CD"/>
    <w:rsid w:val="0081421C"/>
    <w:rsid w:val="00820246"/>
    <w:rsid w:val="00822816"/>
    <w:rsid w:val="008278A6"/>
    <w:rsid w:val="00827A99"/>
    <w:rsid w:val="00831E54"/>
    <w:rsid w:val="00834495"/>
    <w:rsid w:val="008346A4"/>
    <w:rsid w:val="008362B8"/>
    <w:rsid w:val="00837831"/>
    <w:rsid w:val="00840A3C"/>
    <w:rsid w:val="00841606"/>
    <w:rsid w:val="00841DD9"/>
    <w:rsid w:val="00846824"/>
    <w:rsid w:val="00846A0A"/>
    <w:rsid w:val="00846F9F"/>
    <w:rsid w:val="00847B04"/>
    <w:rsid w:val="00850249"/>
    <w:rsid w:val="00851756"/>
    <w:rsid w:val="0085433F"/>
    <w:rsid w:val="00856221"/>
    <w:rsid w:val="0085648F"/>
    <w:rsid w:val="00857623"/>
    <w:rsid w:val="00861FFB"/>
    <w:rsid w:val="00865D3A"/>
    <w:rsid w:val="00866F8A"/>
    <w:rsid w:val="00867E86"/>
    <w:rsid w:val="00871EA3"/>
    <w:rsid w:val="00873FC3"/>
    <w:rsid w:val="00874A5F"/>
    <w:rsid w:val="00877117"/>
    <w:rsid w:val="0088199C"/>
    <w:rsid w:val="00883C22"/>
    <w:rsid w:val="0088444A"/>
    <w:rsid w:val="0088765C"/>
    <w:rsid w:val="008904B1"/>
    <w:rsid w:val="008911CD"/>
    <w:rsid w:val="00891371"/>
    <w:rsid w:val="0089303A"/>
    <w:rsid w:val="008953C1"/>
    <w:rsid w:val="008A67B5"/>
    <w:rsid w:val="008A6C38"/>
    <w:rsid w:val="008B06FC"/>
    <w:rsid w:val="008B2690"/>
    <w:rsid w:val="008B7829"/>
    <w:rsid w:val="008C4947"/>
    <w:rsid w:val="008D0044"/>
    <w:rsid w:val="008D2ADA"/>
    <w:rsid w:val="008D2C60"/>
    <w:rsid w:val="008D59CF"/>
    <w:rsid w:val="008D7645"/>
    <w:rsid w:val="008D775F"/>
    <w:rsid w:val="008E07D8"/>
    <w:rsid w:val="008E2DB8"/>
    <w:rsid w:val="008E3B20"/>
    <w:rsid w:val="008F0845"/>
    <w:rsid w:val="008F2C33"/>
    <w:rsid w:val="008F7347"/>
    <w:rsid w:val="008F7387"/>
    <w:rsid w:val="009012E5"/>
    <w:rsid w:val="00901ED3"/>
    <w:rsid w:val="00903AF5"/>
    <w:rsid w:val="00904792"/>
    <w:rsid w:val="00904BC1"/>
    <w:rsid w:val="0090543C"/>
    <w:rsid w:val="00907ADD"/>
    <w:rsid w:val="009102FB"/>
    <w:rsid w:val="00914B3E"/>
    <w:rsid w:val="009232D4"/>
    <w:rsid w:val="00926B69"/>
    <w:rsid w:val="00926F77"/>
    <w:rsid w:val="00930675"/>
    <w:rsid w:val="00930C1E"/>
    <w:rsid w:val="009375E4"/>
    <w:rsid w:val="009376F0"/>
    <w:rsid w:val="00940A65"/>
    <w:rsid w:val="00943071"/>
    <w:rsid w:val="00946182"/>
    <w:rsid w:val="00950EB4"/>
    <w:rsid w:val="00951749"/>
    <w:rsid w:val="00952D78"/>
    <w:rsid w:val="00953521"/>
    <w:rsid w:val="00954131"/>
    <w:rsid w:val="009632B9"/>
    <w:rsid w:val="009636DC"/>
    <w:rsid w:val="00963C14"/>
    <w:rsid w:val="009677C8"/>
    <w:rsid w:val="00967B46"/>
    <w:rsid w:val="00973355"/>
    <w:rsid w:val="0097590D"/>
    <w:rsid w:val="00985FA9"/>
    <w:rsid w:val="0099022C"/>
    <w:rsid w:val="0099269B"/>
    <w:rsid w:val="009949B5"/>
    <w:rsid w:val="00997F81"/>
    <w:rsid w:val="009A1A3A"/>
    <w:rsid w:val="009A3F84"/>
    <w:rsid w:val="009A7691"/>
    <w:rsid w:val="009B0854"/>
    <w:rsid w:val="009B33AC"/>
    <w:rsid w:val="009B6107"/>
    <w:rsid w:val="009B6986"/>
    <w:rsid w:val="009C0B0F"/>
    <w:rsid w:val="009C3065"/>
    <w:rsid w:val="009C357E"/>
    <w:rsid w:val="009D00A1"/>
    <w:rsid w:val="009D0534"/>
    <w:rsid w:val="009D29E6"/>
    <w:rsid w:val="009E0A4F"/>
    <w:rsid w:val="009E1636"/>
    <w:rsid w:val="009E4840"/>
    <w:rsid w:val="009E7F83"/>
    <w:rsid w:val="009F0A16"/>
    <w:rsid w:val="009F44D6"/>
    <w:rsid w:val="009F7593"/>
    <w:rsid w:val="00A00F97"/>
    <w:rsid w:val="00A01530"/>
    <w:rsid w:val="00A02631"/>
    <w:rsid w:val="00A031DC"/>
    <w:rsid w:val="00A03CDC"/>
    <w:rsid w:val="00A054E4"/>
    <w:rsid w:val="00A05985"/>
    <w:rsid w:val="00A05AA7"/>
    <w:rsid w:val="00A066E7"/>
    <w:rsid w:val="00A06E89"/>
    <w:rsid w:val="00A10B37"/>
    <w:rsid w:val="00A14A08"/>
    <w:rsid w:val="00A15808"/>
    <w:rsid w:val="00A21CBA"/>
    <w:rsid w:val="00A26DC9"/>
    <w:rsid w:val="00A314EC"/>
    <w:rsid w:val="00A35299"/>
    <w:rsid w:val="00A36F04"/>
    <w:rsid w:val="00A3702F"/>
    <w:rsid w:val="00A41C05"/>
    <w:rsid w:val="00A425F1"/>
    <w:rsid w:val="00A45DFD"/>
    <w:rsid w:val="00A4765F"/>
    <w:rsid w:val="00A5054C"/>
    <w:rsid w:val="00A50B97"/>
    <w:rsid w:val="00A513E5"/>
    <w:rsid w:val="00A555A1"/>
    <w:rsid w:val="00A646EE"/>
    <w:rsid w:val="00A654E7"/>
    <w:rsid w:val="00A65A70"/>
    <w:rsid w:val="00A6622D"/>
    <w:rsid w:val="00A669AE"/>
    <w:rsid w:val="00A70DA1"/>
    <w:rsid w:val="00A728FF"/>
    <w:rsid w:val="00A76AF7"/>
    <w:rsid w:val="00A81EDE"/>
    <w:rsid w:val="00A82B63"/>
    <w:rsid w:val="00A82F5C"/>
    <w:rsid w:val="00A879E3"/>
    <w:rsid w:val="00A90B85"/>
    <w:rsid w:val="00A926BD"/>
    <w:rsid w:val="00A92A7E"/>
    <w:rsid w:val="00A955B1"/>
    <w:rsid w:val="00A968F1"/>
    <w:rsid w:val="00AA2DE3"/>
    <w:rsid w:val="00AA3643"/>
    <w:rsid w:val="00AB43C0"/>
    <w:rsid w:val="00AB4B08"/>
    <w:rsid w:val="00AB6AB6"/>
    <w:rsid w:val="00AD0EF2"/>
    <w:rsid w:val="00AD3016"/>
    <w:rsid w:val="00AD3244"/>
    <w:rsid w:val="00AD6A6F"/>
    <w:rsid w:val="00AD7548"/>
    <w:rsid w:val="00AE1CC1"/>
    <w:rsid w:val="00AE1CD2"/>
    <w:rsid w:val="00AE1EB2"/>
    <w:rsid w:val="00AE2FAB"/>
    <w:rsid w:val="00AE4961"/>
    <w:rsid w:val="00AF3C15"/>
    <w:rsid w:val="00AF51F4"/>
    <w:rsid w:val="00B001AB"/>
    <w:rsid w:val="00B01DD3"/>
    <w:rsid w:val="00B07FD0"/>
    <w:rsid w:val="00B151E3"/>
    <w:rsid w:val="00B15EF2"/>
    <w:rsid w:val="00B16FE4"/>
    <w:rsid w:val="00B20C3A"/>
    <w:rsid w:val="00B21D96"/>
    <w:rsid w:val="00B22F4B"/>
    <w:rsid w:val="00B23155"/>
    <w:rsid w:val="00B2361B"/>
    <w:rsid w:val="00B23EF6"/>
    <w:rsid w:val="00B24B50"/>
    <w:rsid w:val="00B2573B"/>
    <w:rsid w:val="00B26011"/>
    <w:rsid w:val="00B338F3"/>
    <w:rsid w:val="00B35050"/>
    <w:rsid w:val="00B445F9"/>
    <w:rsid w:val="00B508F6"/>
    <w:rsid w:val="00B60F5D"/>
    <w:rsid w:val="00B62152"/>
    <w:rsid w:val="00B62B43"/>
    <w:rsid w:val="00B634D5"/>
    <w:rsid w:val="00B719B6"/>
    <w:rsid w:val="00B74CBC"/>
    <w:rsid w:val="00B77F5E"/>
    <w:rsid w:val="00B8091E"/>
    <w:rsid w:val="00B83A80"/>
    <w:rsid w:val="00B83A96"/>
    <w:rsid w:val="00B84049"/>
    <w:rsid w:val="00B8574F"/>
    <w:rsid w:val="00B86441"/>
    <w:rsid w:val="00B876B7"/>
    <w:rsid w:val="00B91739"/>
    <w:rsid w:val="00B93CDD"/>
    <w:rsid w:val="00B94603"/>
    <w:rsid w:val="00B946B7"/>
    <w:rsid w:val="00B95A85"/>
    <w:rsid w:val="00BA695F"/>
    <w:rsid w:val="00BB1E2A"/>
    <w:rsid w:val="00BB21E1"/>
    <w:rsid w:val="00BB30F6"/>
    <w:rsid w:val="00BB59AE"/>
    <w:rsid w:val="00BB6999"/>
    <w:rsid w:val="00BD4B1E"/>
    <w:rsid w:val="00BD5006"/>
    <w:rsid w:val="00BD5D3A"/>
    <w:rsid w:val="00BE09F7"/>
    <w:rsid w:val="00BE5A8F"/>
    <w:rsid w:val="00BF5C8E"/>
    <w:rsid w:val="00C04C05"/>
    <w:rsid w:val="00C06FAD"/>
    <w:rsid w:val="00C12072"/>
    <w:rsid w:val="00C12EAA"/>
    <w:rsid w:val="00C12EEB"/>
    <w:rsid w:val="00C14C56"/>
    <w:rsid w:val="00C15C5F"/>
    <w:rsid w:val="00C174FA"/>
    <w:rsid w:val="00C220F8"/>
    <w:rsid w:val="00C241F0"/>
    <w:rsid w:val="00C27F0C"/>
    <w:rsid w:val="00C31843"/>
    <w:rsid w:val="00C32890"/>
    <w:rsid w:val="00C33652"/>
    <w:rsid w:val="00C35208"/>
    <w:rsid w:val="00C36069"/>
    <w:rsid w:val="00C362C6"/>
    <w:rsid w:val="00C42DF8"/>
    <w:rsid w:val="00C54BCD"/>
    <w:rsid w:val="00C6141E"/>
    <w:rsid w:val="00C6170D"/>
    <w:rsid w:val="00C64BF5"/>
    <w:rsid w:val="00C66F20"/>
    <w:rsid w:val="00C67BE1"/>
    <w:rsid w:val="00C720A9"/>
    <w:rsid w:val="00C7333B"/>
    <w:rsid w:val="00C769C9"/>
    <w:rsid w:val="00C774B7"/>
    <w:rsid w:val="00C7773F"/>
    <w:rsid w:val="00C82356"/>
    <w:rsid w:val="00C8486E"/>
    <w:rsid w:val="00C87AF1"/>
    <w:rsid w:val="00C94C5C"/>
    <w:rsid w:val="00C97D5F"/>
    <w:rsid w:val="00CA0D4E"/>
    <w:rsid w:val="00CA3C4A"/>
    <w:rsid w:val="00CA7E41"/>
    <w:rsid w:val="00CB3D8D"/>
    <w:rsid w:val="00CB690B"/>
    <w:rsid w:val="00CC1762"/>
    <w:rsid w:val="00CC3748"/>
    <w:rsid w:val="00CC5C90"/>
    <w:rsid w:val="00CD084F"/>
    <w:rsid w:val="00CD1DF0"/>
    <w:rsid w:val="00CD5D20"/>
    <w:rsid w:val="00CE067C"/>
    <w:rsid w:val="00CE1F41"/>
    <w:rsid w:val="00CF018F"/>
    <w:rsid w:val="00CF0992"/>
    <w:rsid w:val="00CF15EA"/>
    <w:rsid w:val="00CF2968"/>
    <w:rsid w:val="00CF5D81"/>
    <w:rsid w:val="00CF7337"/>
    <w:rsid w:val="00CF7E9B"/>
    <w:rsid w:val="00D00A2B"/>
    <w:rsid w:val="00D03D30"/>
    <w:rsid w:val="00D04CBB"/>
    <w:rsid w:val="00D058B4"/>
    <w:rsid w:val="00D05BB9"/>
    <w:rsid w:val="00D125AA"/>
    <w:rsid w:val="00D14700"/>
    <w:rsid w:val="00D157AA"/>
    <w:rsid w:val="00D22839"/>
    <w:rsid w:val="00D240B6"/>
    <w:rsid w:val="00D346DC"/>
    <w:rsid w:val="00D34DD9"/>
    <w:rsid w:val="00D3784F"/>
    <w:rsid w:val="00D43EC9"/>
    <w:rsid w:val="00D44734"/>
    <w:rsid w:val="00D45A2E"/>
    <w:rsid w:val="00D51579"/>
    <w:rsid w:val="00D63452"/>
    <w:rsid w:val="00D64A55"/>
    <w:rsid w:val="00D65B40"/>
    <w:rsid w:val="00D6657A"/>
    <w:rsid w:val="00D70D8C"/>
    <w:rsid w:val="00D90FE2"/>
    <w:rsid w:val="00D9173D"/>
    <w:rsid w:val="00D922E1"/>
    <w:rsid w:val="00D93036"/>
    <w:rsid w:val="00D93641"/>
    <w:rsid w:val="00D93FD6"/>
    <w:rsid w:val="00DA5610"/>
    <w:rsid w:val="00DA5990"/>
    <w:rsid w:val="00DB0E99"/>
    <w:rsid w:val="00DB42F5"/>
    <w:rsid w:val="00DB4D71"/>
    <w:rsid w:val="00DB7AC9"/>
    <w:rsid w:val="00DB7CD1"/>
    <w:rsid w:val="00DC0F6B"/>
    <w:rsid w:val="00DC399F"/>
    <w:rsid w:val="00DC7D23"/>
    <w:rsid w:val="00DD1320"/>
    <w:rsid w:val="00DD2C25"/>
    <w:rsid w:val="00DD3D23"/>
    <w:rsid w:val="00DD5C1C"/>
    <w:rsid w:val="00DE371A"/>
    <w:rsid w:val="00DE47EE"/>
    <w:rsid w:val="00DE77B6"/>
    <w:rsid w:val="00E04940"/>
    <w:rsid w:val="00E075D7"/>
    <w:rsid w:val="00E110B2"/>
    <w:rsid w:val="00E128A3"/>
    <w:rsid w:val="00E13602"/>
    <w:rsid w:val="00E15119"/>
    <w:rsid w:val="00E200BB"/>
    <w:rsid w:val="00E23B0E"/>
    <w:rsid w:val="00E33D30"/>
    <w:rsid w:val="00E33E36"/>
    <w:rsid w:val="00E35F0D"/>
    <w:rsid w:val="00E36DBD"/>
    <w:rsid w:val="00E418FD"/>
    <w:rsid w:val="00E44557"/>
    <w:rsid w:val="00E46108"/>
    <w:rsid w:val="00E4662F"/>
    <w:rsid w:val="00E527C8"/>
    <w:rsid w:val="00E545BF"/>
    <w:rsid w:val="00E557CF"/>
    <w:rsid w:val="00E62BFB"/>
    <w:rsid w:val="00E62D77"/>
    <w:rsid w:val="00E6359E"/>
    <w:rsid w:val="00E64C0B"/>
    <w:rsid w:val="00E66393"/>
    <w:rsid w:val="00E66EF7"/>
    <w:rsid w:val="00E701D3"/>
    <w:rsid w:val="00E82CE4"/>
    <w:rsid w:val="00E83758"/>
    <w:rsid w:val="00E83FBD"/>
    <w:rsid w:val="00E92A11"/>
    <w:rsid w:val="00E93BE1"/>
    <w:rsid w:val="00E9513A"/>
    <w:rsid w:val="00E95ACC"/>
    <w:rsid w:val="00EA3524"/>
    <w:rsid w:val="00EA7003"/>
    <w:rsid w:val="00EB171D"/>
    <w:rsid w:val="00EB1EBC"/>
    <w:rsid w:val="00EB5020"/>
    <w:rsid w:val="00EE00D5"/>
    <w:rsid w:val="00EE01A9"/>
    <w:rsid w:val="00EE14A5"/>
    <w:rsid w:val="00EE2AA6"/>
    <w:rsid w:val="00EE794C"/>
    <w:rsid w:val="00EF14A8"/>
    <w:rsid w:val="00EF387E"/>
    <w:rsid w:val="00EF4939"/>
    <w:rsid w:val="00EF4E6F"/>
    <w:rsid w:val="00EF4F17"/>
    <w:rsid w:val="00EF5822"/>
    <w:rsid w:val="00EF64D3"/>
    <w:rsid w:val="00F042D5"/>
    <w:rsid w:val="00F07A5A"/>
    <w:rsid w:val="00F142A7"/>
    <w:rsid w:val="00F178DC"/>
    <w:rsid w:val="00F21CDD"/>
    <w:rsid w:val="00F24BD3"/>
    <w:rsid w:val="00F25A8B"/>
    <w:rsid w:val="00F26B53"/>
    <w:rsid w:val="00F27E8A"/>
    <w:rsid w:val="00F369DB"/>
    <w:rsid w:val="00F36C4A"/>
    <w:rsid w:val="00F40FDE"/>
    <w:rsid w:val="00F432FE"/>
    <w:rsid w:val="00F46043"/>
    <w:rsid w:val="00F46268"/>
    <w:rsid w:val="00F47002"/>
    <w:rsid w:val="00F53757"/>
    <w:rsid w:val="00F54FDB"/>
    <w:rsid w:val="00F55F0B"/>
    <w:rsid w:val="00F6072C"/>
    <w:rsid w:val="00F64ADE"/>
    <w:rsid w:val="00F71572"/>
    <w:rsid w:val="00F716C9"/>
    <w:rsid w:val="00F7183A"/>
    <w:rsid w:val="00F7380A"/>
    <w:rsid w:val="00F75BB8"/>
    <w:rsid w:val="00F76DD4"/>
    <w:rsid w:val="00F81670"/>
    <w:rsid w:val="00F816EC"/>
    <w:rsid w:val="00F81EE9"/>
    <w:rsid w:val="00F86319"/>
    <w:rsid w:val="00F9335D"/>
    <w:rsid w:val="00F935B5"/>
    <w:rsid w:val="00F9397E"/>
    <w:rsid w:val="00F96CBD"/>
    <w:rsid w:val="00F974DF"/>
    <w:rsid w:val="00FA22D2"/>
    <w:rsid w:val="00FA2FAB"/>
    <w:rsid w:val="00FA6FA2"/>
    <w:rsid w:val="00FC25C5"/>
    <w:rsid w:val="00FC4258"/>
    <w:rsid w:val="00FC650C"/>
    <w:rsid w:val="00FC7DB7"/>
    <w:rsid w:val="00FC7FCB"/>
    <w:rsid w:val="00FD0498"/>
    <w:rsid w:val="00FD0A40"/>
    <w:rsid w:val="00FD3A92"/>
    <w:rsid w:val="00FD3AD8"/>
    <w:rsid w:val="00FD703E"/>
    <w:rsid w:val="00FD7773"/>
    <w:rsid w:val="00FE1146"/>
    <w:rsid w:val="00FE4490"/>
    <w:rsid w:val="00FE681B"/>
    <w:rsid w:val="00FE7B27"/>
    <w:rsid w:val="00FF03C9"/>
    <w:rsid w:val="00FF24C0"/>
    <w:rsid w:val="00FF31F6"/>
    <w:rsid w:val="00FF5D99"/>
    <w:rsid w:val="00FF5E89"/>
    <w:rsid w:val="00FF6B7D"/>
    <w:rsid w:val="00FF72D2"/>
    <w:rsid w:val="03DC1F92"/>
    <w:rsid w:val="07D30F43"/>
    <w:rsid w:val="0EC92BD5"/>
    <w:rsid w:val="11A10F38"/>
    <w:rsid w:val="27D20420"/>
    <w:rsid w:val="2FFB6496"/>
    <w:rsid w:val="32B11A87"/>
    <w:rsid w:val="34261CBA"/>
    <w:rsid w:val="36684462"/>
    <w:rsid w:val="49A35317"/>
    <w:rsid w:val="528B0F6E"/>
    <w:rsid w:val="55980234"/>
    <w:rsid w:val="58A161DE"/>
    <w:rsid w:val="5EB6089F"/>
    <w:rsid w:val="64F91913"/>
    <w:rsid w:val="658900E2"/>
    <w:rsid w:val="6AD242DC"/>
    <w:rsid w:val="6B944D16"/>
    <w:rsid w:val="6EBE3165"/>
    <w:rsid w:val="74A12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412272-B73C-4D1A-9819-365D0DE0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3D"/>
    <w:pPr>
      <w:widowControl w:val="0"/>
      <w:jc w:val="both"/>
    </w:pPr>
    <w:rPr>
      <w:rFonts w:ascii="Calibri" w:eastAsia="仿宋_GB2312"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72363D"/>
    <w:rPr>
      <w:sz w:val="18"/>
      <w:szCs w:val="18"/>
    </w:rPr>
  </w:style>
  <w:style w:type="paragraph" w:styleId="a4">
    <w:name w:val="footer"/>
    <w:basedOn w:val="a"/>
    <w:link w:val="Char0"/>
    <w:uiPriority w:val="99"/>
    <w:qFormat/>
    <w:rsid w:val="0072363D"/>
    <w:pPr>
      <w:tabs>
        <w:tab w:val="center" w:pos="4153"/>
        <w:tab w:val="right" w:pos="8306"/>
      </w:tabs>
      <w:snapToGrid w:val="0"/>
      <w:jc w:val="left"/>
    </w:pPr>
    <w:rPr>
      <w:rFonts w:eastAsia="宋体"/>
      <w:kern w:val="0"/>
      <w:sz w:val="18"/>
      <w:szCs w:val="18"/>
    </w:rPr>
  </w:style>
  <w:style w:type="paragraph" w:styleId="a5">
    <w:name w:val="header"/>
    <w:basedOn w:val="a"/>
    <w:link w:val="Char1"/>
    <w:uiPriority w:val="99"/>
    <w:semiHidden/>
    <w:qFormat/>
    <w:rsid w:val="0072363D"/>
    <w:pPr>
      <w:pBdr>
        <w:bottom w:val="single" w:sz="6" w:space="1" w:color="auto"/>
      </w:pBdr>
      <w:tabs>
        <w:tab w:val="center" w:pos="4153"/>
        <w:tab w:val="right" w:pos="8306"/>
      </w:tabs>
      <w:snapToGrid w:val="0"/>
      <w:jc w:val="center"/>
    </w:pPr>
    <w:rPr>
      <w:rFonts w:eastAsia="宋体"/>
      <w:kern w:val="0"/>
      <w:sz w:val="18"/>
      <w:szCs w:val="18"/>
    </w:rPr>
  </w:style>
  <w:style w:type="paragraph" w:styleId="a6">
    <w:name w:val="Normal (Web)"/>
    <w:basedOn w:val="a"/>
    <w:uiPriority w:val="99"/>
    <w:qFormat/>
    <w:rsid w:val="0072363D"/>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rsid w:val="007236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72363D"/>
  </w:style>
  <w:style w:type="character" w:customStyle="1" w:styleId="Char1">
    <w:name w:val="页眉 Char"/>
    <w:link w:val="a5"/>
    <w:uiPriority w:val="99"/>
    <w:semiHidden/>
    <w:qFormat/>
    <w:locked/>
    <w:rsid w:val="0072363D"/>
    <w:rPr>
      <w:sz w:val="18"/>
      <w:szCs w:val="18"/>
    </w:rPr>
  </w:style>
  <w:style w:type="character" w:customStyle="1" w:styleId="Char0">
    <w:name w:val="页脚 Char"/>
    <w:link w:val="a4"/>
    <w:uiPriority w:val="99"/>
    <w:qFormat/>
    <w:locked/>
    <w:rsid w:val="0072363D"/>
    <w:rPr>
      <w:sz w:val="18"/>
      <w:szCs w:val="18"/>
    </w:rPr>
  </w:style>
  <w:style w:type="paragraph" w:styleId="a9">
    <w:name w:val="List Paragraph"/>
    <w:basedOn w:val="a"/>
    <w:uiPriority w:val="99"/>
    <w:qFormat/>
    <w:rsid w:val="0072363D"/>
    <w:pPr>
      <w:ind w:firstLineChars="200" w:firstLine="420"/>
    </w:pPr>
  </w:style>
  <w:style w:type="character" w:customStyle="1" w:styleId="NormalCharacter">
    <w:name w:val="NormalCharacter"/>
    <w:uiPriority w:val="99"/>
    <w:qFormat/>
    <w:rsid w:val="0072363D"/>
  </w:style>
  <w:style w:type="character" w:customStyle="1" w:styleId="Char2">
    <w:name w:val="正文文本缩进 Char"/>
    <w:uiPriority w:val="99"/>
    <w:qFormat/>
    <w:rsid w:val="0072363D"/>
    <w:rPr>
      <w:rFonts w:ascii="仿宋_GB2312" w:eastAsia="仿宋_GB2312" w:cs="仿宋_GB2312"/>
      <w:kern w:val="2"/>
      <w:sz w:val="32"/>
      <w:szCs w:val="32"/>
      <w:lang w:val="en-US" w:eastAsia="zh-CN"/>
    </w:rPr>
  </w:style>
  <w:style w:type="paragraph" w:styleId="aa">
    <w:name w:val="No Spacing"/>
    <w:uiPriority w:val="99"/>
    <w:qFormat/>
    <w:rsid w:val="0072363D"/>
    <w:pPr>
      <w:widowControl w:val="0"/>
      <w:jc w:val="both"/>
    </w:pPr>
    <w:rPr>
      <w:rFonts w:ascii="Calibri" w:hAnsi="Calibri" w:cs="Calibri"/>
      <w:kern w:val="2"/>
      <w:sz w:val="21"/>
      <w:szCs w:val="21"/>
    </w:rPr>
  </w:style>
  <w:style w:type="paragraph" w:customStyle="1" w:styleId="New">
    <w:name w:val="正文 New"/>
    <w:uiPriority w:val="99"/>
    <w:qFormat/>
    <w:rsid w:val="0072363D"/>
    <w:pPr>
      <w:widowControl w:val="0"/>
      <w:jc w:val="both"/>
    </w:pPr>
    <w:rPr>
      <w:rFonts w:eastAsia="仿宋_GB2312"/>
      <w:kern w:val="2"/>
      <w:sz w:val="32"/>
      <w:szCs w:val="32"/>
    </w:rPr>
  </w:style>
  <w:style w:type="character" w:customStyle="1" w:styleId="Char">
    <w:name w:val="批注框文本 Char"/>
    <w:link w:val="a3"/>
    <w:uiPriority w:val="99"/>
    <w:semiHidden/>
    <w:qFormat/>
    <w:locked/>
    <w:rsid w:val="0072363D"/>
    <w:rPr>
      <w:rFonts w:eastAsia="仿宋_GB2312"/>
      <w:kern w:val="2"/>
      <w:sz w:val="18"/>
      <w:szCs w:val="18"/>
    </w:rPr>
  </w:style>
  <w:style w:type="paragraph" w:customStyle="1" w:styleId="1">
    <w:name w:val="正文1"/>
    <w:qFormat/>
    <w:rsid w:val="0072363D"/>
    <w:pPr>
      <w:jc w:val="both"/>
    </w:pPr>
    <w:rPr>
      <w:kern w:val="2"/>
      <w:sz w:val="21"/>
    </w:rPr>
  </w:style>
  <w:style w:type="paragraph" w:customStyle="1" w:styleId="NormalNewNew">
    <w:name w:val="Normal New New"/>
    <w:qFormat/>
    <w:rsid w:val="0072363D"/>
    <w:pPr>
      <w:jc w:val="both"/>
    </w:pPr>
    <w:rPr>
      <w:rFonts w:ascii="Calibri" w:hAnsi="Calibri"/>
      <w:kern w:val="2"/>
      <w:sz w:val="21"/>
    </w:rPr>
  </w:style>
  <w:style w:type="character" w:styleId="ab">
    <w:name w:val="Hyperlink"/>
    <w:basedOn w:val="a0"/>
    <w:uiPriority w:val="99"/>
    <w:unhideWhenUsed/>
    <w:rsid w:val="0012102E"/>
    <w:rPr>
      <w:color w:val="0000FF" w:themeColor="hyperlink"/>
      <w:u w:val="single"/>
    </w:rPr>
  </w:style>
  <w:style w:type="paragraph" w:styleId="ac">
    <w:name w:val="Revision"/>
    <w:hidden/>
    <w:uiPriority w:val="99"/>
    <w:semiHidden/>
    <w:rsid w:val="00C35208"/>
    <w:rPr>
      <w:rFonts w:ascii="Calibri" w:eastAsia="仿宋_GB2312" w:hAnsi="Calibri" w:cs="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D57CC-0BF3-4683-BE0D-8F58C58B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城乡环境基础设施建设工作情况</dc:title>
  <dc:creator>admin</dc:creator>
  <cp:lastModifiedBy>鱼海跃 192.168.8.6</cp:lastModifiedBy>
  <cp:revision>4</cp:revision>
  <cp:lastPrinted>2021-04-21T02:44:00Z</cp:lastPrinted>
  <dcterms:created xsi:type="dcterms:W3CDTF">2021-04-20T07:17:00Z</dcterms:created>
  <dcterms:modified xsi:type="dcterms:W3CDTF">2021-04-21T02:54:00Z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